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eastAsia="es-ES"/>
        </w:rPr>
        <w:id w:val="19613647"/>
        <w:docPartObj>
          <w:docPartGallery w:val="Cover Pages"/>
          <w:docPartUnique/>
        </w:docPartObj>
      </w:sdtPr>
      <w:sdtEndPr>
        <w:rPr>
          <w:rFonts w:asciiTheme="minorHAnsi" w:eastAsiaTheme="minorEastAsia" w:hAnsiTheme="minorHAnsi" w:cstheme="minorBidi"/>
          <w:b/>
          <w:color w:val="C00000"/>
          <w:sz w:val="24"/>
          <w:szCs w:val="24"/>
          <w:u w:val="single"/>
          <w:lang w:val="ca-ES"/>
        </w:rPr>
      </w:sdtEndPr>
      <w:sdtContent>
        <w:p w:rsidR="00035611" w:rsidRDefault="000054B0">
          <w:pPr>
            <w:pStyle w:val="Sinespaciado"/>
            <w:rPr>
              <w:rFonts w:asciiTheme="majorHAnsi" w:eastAsiaTheme="majorEastAsia" w:hAnsiTheme="majorHAnsi" w:cstheme="majorBidi"/>
              <w:sz w:val="72"/>
              <w:szCs w:val="72"/>
            </w:rPr>
          </w:pPr>
          <w:r w:rsidRPr="000054B0">
            <w:rPr>
              <w:rFonts w:eastAsiaTheme="majorEastAsia" w:cstheme="majorBidi"/>
              <w:noProof/>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fillcolor="#c00000" strokecolor="#c00000">
                <w10:wrap anchorx="page" anchory="page"/>
              </v:rect>
            </w:pict>
          </w:r>
          <w:r w:rsidRPr="000054B0">
            <w:rPr>
              <w:rFonts w:eastAsiaTheme="majorEastAsia" w:cstheme="majorBidi"/>
              <w:noProof/>
            </w:rPr>
            <w:pict>
              <v:rect id="_x0000_s1027" style="position:absolute;margin-left:0;margin-top:0;width:624.25pt;height:63pt;z-index:251661312;mso-width-percent:1050;mso-height-percent:900;mso-position-horizontal:center;mso-position-horizontal-relative:page;mso-position-vertical:top;mso-position-vertical-relative:top-margin-area;mso-width-percent:1050;mso-height-percent:900;mso-height-relative:top-margin-area" o:allowincell="f" fillcolor="#c00000" strokecolor="#c00000">
                <w10:wrap anchorx="page" anchory="margin"/>
              </v:rect>
            </w:pict>
          </w:r>
        </w:p>
        <w:sdt>
          <w:sdtPr>
            <w:rPr>
              <w:rFonts w:eastAsiaTheme="majorEastAsia" w:cstheme="minorHAnsi"/>
              <w:b/>
              <w:color w:val="C00000"/>
              <w:sz w:val="92"/>
              <w:szCs w:val="92"/>
            </w:rPr>
            <w:alias w:val="Título"/>
            <w:id w:val="14700071"/>
            <w:placeholder>
              <w:docPart w:val="4B0E79A4D6B6450384A3E4BB2FC2E052"/>
            </w:placeholder>
            <w:dataBinding w:prefixMappings="xmlns:ns0='http://schemas.openxmlformats.org/package/2006/metadata/core-properties' xmlns:ns1='http://purl.org/dc/elements/1.1/'" w:xpath="/ns0:coreProperties[1]/ns1:title[1]" w:storeItemID="{6C3C8BC8-F283-45AE-878A-BAB7291924A1}"/>
            <w:text/>
          </w:sdtPr>
          <w:sdtContent>
            <w:p w:rsidR="00035611" w:rsidRDefault="00035611" w:rsidP="00AC4236">
              <w:pPr>
                <w:pStyle w:val="Sinespaciado"/>
                <w:rPr>
                  <w:rFonts w:asciiTheme="majorHAnsi" w:eastAsiaTheme="majorEastAsia" w:hAnsiTheme="majorHAnsi" w:cstheme="majorBidi"/>
                  <w:sz w:val="72"/>
                  <w:szCs w:val="72"/>
                </w:rPr>
              </w:pPr>
              <w:r w:rsidRPr="00AC4236">
                <w:rPr>
                  <w:rFonts w:eastAsiaTheme="majorEastAsia" w:cstheme="minorHAnsi"/>
                  <w:b/>
                  <w:color w:val="C00000"/>
                  <w:sz w:val="92"/>
                  <w:szCs w:val="92"/>
                </w:rPr>
                <w:t>Desigualtats salarials a Catalunya</w:t>
              </w:r>
            </w:p>
          </w:sdtContent>
        </w:sdt>
        <w:sdt>
          <w:sdtPr>
            <w:rPr>
              <w:rFonts w:eastAsiaTheme="majorEastAsia" w:cstheme="minorHAnsi"/>
              <w:b/>
              <w:sz w:val="56"/>
              <w:szCs w:val="56"/>
            </w:rPr>
            <w:alias w:val="Subtítulo"/>
            <w:id w:val="14700077"/>
            <w:placeholder>
              <w:docPart w:val="6465060AB9CD4570AFFA31752E04E67C"/>
            </w:placeholder>
            <w:dataBinding w:prefixMappings="xmlns:ns0='http://schemas.openxmlformats.org/package/2006/metadata/core-properties' xmlns:ns1='http://purl.org/dc/elements/1.1/'" w:xpath="/ns0:coreProperties[1]/ns1:subject[1]" w:storeItemID="{6C3C8BC8-F283-45AE-878A-BAB7291924A1}"/>
            <w:text/>
          </w:sdtPr>
          <w:sdtContent>
            <w:p w:rsidR="00035611" w:rsidRDefault="00160619" w:rsidP="00035611">
              <w:pPr>
                <w:pStyle w:val="Sinespaciado"/>
                <w:rPr>
                  <w:rFonts w:asciiTheme="majorHAnsi" w:eastAsiaTheme="majorEastAsia" w:hAnsiTheme="majorHAnsi" w:cstheme="majorBidi"/>
                  <w:sz w:val="36"/>
                  <w:szCs w:val="36"/>
                </w:rPr>
              </w:pPr>
              <w:r>
                <w:rPr>
                  <w:rFonts w:eastAsiaTheme="majorEastAsia" w:cstheme="minorHAnsi"/>
                  <w:b/>
                  <w:sz w:val="56"/>
                  <w:szCs w:val="56"/>
                </w:rPr>
                <w:t>Els efectes de la conciliació sobre la formació de la bretxa salarial</w:t>
              </w:r>
            </w:p>
          </w:sdtContent>
        </w:sdt>
        <w:p w:rsidR="00035611" w:rsidRDefault="00035611">
          <w:pPr>
            <w:pStyle w:val="Sinespaciado"/>
            <w:rPr>
              <w:rFonts w:asciiTheme="majorHAnsi" w:eastAsiaTheme="majorEastAsia" w:hAnsiTheme="majorHAnsi" w:cstheme="majorBidi"/>
              <w:sz w:val="36"/>
              <w:szCs w:val="36"/>
            </w:rPr>
          </w:pPr>
        </w:p>
        <w:p w:rsidR="00035611" w:rsidRDefault="00035611"/>
        <w:p w:rsidR="00035611" w:rsidRDefault="000054B0">
          <w:pPr>
            <w:rPr>
              <w:b/>
              <w:color w:val="C00000"/>
              <w:sz w:val="24"/>
              <w:szCs w:val="24"/>
              <w:u w:val="single"/>
              <w:lang w:val="ca-ES"/>
            </w:rPr>
          </w:pPr>
          <w:r w:rsidRPr="000054B0">
            <w:rPr>
              <w:b/>
              <w:noProof/>
              <w:color w:val="C00000"/>
              <w:sz w:val="24"/>
              <w:szCs w:val="24"/>
              <w:u w:val="single"/>
              <w:lang w:val="ca-ES" w:eastAsia="en-US"/>
            </w:rPr>
            <w:pict>
              <v:shapetype id="_x0000_t202" coordsize="21600,21600" o:spt="202" path="m,l,21600r21600,l21600,xe">
                <v:stroke joinstyle="miter"/>
                <v:path gradientshapeok="t" o:connecttype="rect"/>
              </v:shapetype>
              <v:shape id="_x0000_s1031" type="#_x0000_t202" style="position:absolute;margin-left:215.4pt;margin-top:207.5pt;width:182.85pt;height:45.7pt;z-index:251667456;mso-width-relative:margin;mso-height-relative:margin" stroked="f">
                <v:textbox style="mso-next-textbox:#_x0000_s1031">
                  <w:txbxContent>
                    <w:p w:rsidR="00D42E4A" w:rsidRPr="009F347B" w:rsidRDefault="00D42E4A">
                      <w:pPr>
                        <w:rPr>
                          <w:b/>
                          <w:sz w:val="36"/>
                          <w:szCs w:val="36"/>
                        </w:rPr>
                      </w:pPr>
                      <w:r w:rsidRPr="009F347B">
                        <w:rPr>
                          <w:b/>
                          <w:sz w:val="36"/>
                          <w:szCs w:val="36"/>
                        </w:rPr>
                        <w:t>22 de Febrer de 2016</w:t>
                      </w:r>
                    </w:p>
                  </w:txbxContent>
                </v:textbox>
              </v:shape>
            </w:pict>
          </w:r>
          <w:r w:rsidRPr="000054B0">
            <w:rPr>
              <w:noProof/>
              <w:lang w:eastAsia="en-US"/>
            </w:rPr>
            <w:pict>
              <v:shape id="_x0000_s1030" type="#_x0000_t202" style="position:absolute;margin-left:-140.45pt;margin-top:262.7pt;width:650.95pt;height:141.45pt;z-index:251665408;mso-width-relative:margin;mso-height-relative:margin" stroked="f">
                <v:textbox style="mso-next-textbox:#_x0000_s1030">
                  <w:txbxContent>
                    <w:p w:rsidR="00D42E4A" w:rsidRDefault="00D42E4A">
                      <w:r w:rsidRPr="00DA26E5">
                        <w:rPr>
                          <w:noProof/>
                        </w:rPr>
                        <w:drawing>
                          <wp:inline distT="0" distB="0" distL="0" distR="0">
                            <wp:extent cx="8055455" cy="1760561"/>
                            <wp:effectExtent l="19050" t="0" r="2695" b="0"/>
                            <wp:docPr id="4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srcRect/>
                                    <a:stretch>
                                      <a:fillRect/>
                                    </a:stretch>
                                  </pic:blipFill>
                                  <pic:spPr bwMode="auto">
                                    <a:xfrm>
                                      <a:off x="0" y="0"/>
                                      <a:ext cx="8084185" cy="1766840"/>
                                    </a:xfrm>
                                    <a:prstGeom prst="rect">
                                      <a:avLst/>
                                    </a:prstGeom>
                                    <a:noFill/>
                                    <a:ln w="9525">
                                      <a:noFill/>
                                      <a:miter lim="800000"/>
                                      <a:headEnd/>
                                      <a:tailEnd/>
                                    </a:ln>
                                  </pic:spPr>
                                </pic:pic>
                              </a:graphicData>
                            </a:graphic>
                          </wp:inline>
                        </w:drawing>
                      </w:r>
                    </w:p>
                  </w:txbxContent>
                </v:textbox>
              </v:shape>
            </w:pict>
          </w:r>
          <w:r w:rsidR="00035611">
            <w:rPr>
              <w:b/>
              <w:color w:val="C00000"/>
              <w:sz w:val="24"/>
              <w:szCs w:val="24"/>
              <w:u w:val="single"/>
              <w:lang w:val="ca-ES"/>
            </w:rPr>
            <w:br w:type="page"/>
          </w:r>
        </w:p>
      </w:sdtContent>
    </w:sdt>
    <w:p w:rsidR="00AE3CCB" w:rsidRPr="00E26791" w:rsidRDefault="00035611" w:rsidP="00035611">
      <w:pPr>
        <w:pStyle w:val="Prrafodelista"/>
        <w:numPr>
          <w:ilvl w:val="0"/>
          <w:numId w:val="4"/>
        </w:numPr>
        <w:ind w:left="284" w:hanging="284"/>
        <w:jc w:val="both"/>
        <w:rPr>
          <w:b/>
          <w:color w:val="C00000"/>
          <w:sz w:val="28"/>
          <w:szCs w:val="28"/>
          <w:u w:val="single"/>
          <w:lang w:val="ca-ES"/>
        </w:rPr>
      </w:pPr>
      <w:r w:rsidRPr="00E26791">
        <w:rPr>
          <w:b/>
          <w:color w:val="C00000"/>
          <w:sz w:val="28"/>
          <w:szCs w:val="28"/>
          <w:u w:val="single"/>
          <w:lang w:val="ca-ES"/>
        </w:rPr>
        <w:lastRenderedPageBreak/>
        <w:t>La bretxa salarial:</w:t>
      </w:r>
      <w:r w:rsidR="00AE3CCB" w:rsidRPr="00E26791">
        <w:rPr>
          <w:b/>
          <w:color w:val="C00000"/>
          <w:sz w:val="28"/>
          <w:szCs w:val="28"/>
          <w:u w:val="single"/>
          <w:lang w:val="ca-ES"/>
        </w:rPr>
        <w:t xml:space="preserve"> </w:t>
      </w:r>
      <w:r w:rsidRPr="00E26791">
        <w:rPr>
          <w:b/>
          <w:color w:val="C00000"/>
          <w:sz w:val="28"/>
          <w:szCs w:val="28"/>
          <w:u w:val="single"/>
          <w:lang w:val="ca-ES"/>
        </w:rPr>
        <w:t>e</w:t>
      </w:r>
      <w:r w:rsidR="00AE3CCB" w:rsidRPr="00E26791">
        <w:rPr>
          <w:b/>
          <w:color w:val="C00000"/>
          <w:sz w:val="28"/>
          <w:szCs w:val="28"/>
          <w:u w:val="single"/>
          <w:lang w:val="ca-ES"/>
        </w:rPr>
        <w:t xml:space="preserve">xpressió </w:t>
      </w:r>
      <w:r w:rsidR="00EE69C4" w:rsidRPr="00E26791">
        <w:rPr>
          <w:b/>
          <w:color w:val="C00000"/>
          <w:sz w:val="28"/>
          <w:szCs w:val="28"/>
          <w:u w:val="single"/>
          <w:lang w:val="ca-ES"/>
        </w:rPr>
        <w:t>econòmica</w:t>
      </w:r>
      <w:r w:rsidR="00AE3CCB" w:rsidRPr="00E26791">
        <w:rPr>
          <w:b/>
          <w:color w:val="C00000"/>
          <w:sz w:val="28"/>
          <w:szCs w:val="28"/>
          <w:u w:val="single"/>
          <w:lang w:val="ca-ES"/>
        </w:rPr>
        <w:t xml:space="preserve"> de les desigualtats entre dones i homes</w:t>
      </w:r>
    </w:p>
    <w:p w:rsidR="008A1E66" w:rsidRDefault="00EE69C4" w:rsidP="00035611">
      <w:pPr>
        <w:jc w:val="both"/>
        <w:rPr>
          <w:sz w:val="24"/>
          <w:szCs w:val="24"/>
          <w:lang w:val="ca-ES"/>
        </w:rPr>
      </w:pPr>
      <w:r w:rsidRPr="00EE69C4">
        <w:rPr>
          <w:sz w:val="24"/>
          <w:szCs w:val="24"/>
          <w:lang w:val="ca-ES"/>
        </w:rPr>
        <w:t xml:space="preserve">El salari mitjà de les dones segueix sent inferior al </w:t>
      </w:r>
      <w:r w:rsidR="00D93C6B">
        <w:rPr>
          <w:sz w:val="24"/>
          <w:szCs w:val="24"/>
          <w:lang w:val="ca-ES"/>
        </w:rPr>
        <w:t>dels homes, tant dins l’entorn internacional</w:t>
      </w:r>
      <w:r w:rsidRPr="00EE69C4">
        <w:rPr>
          <w:sz w:val="24"/>
          <w:szCs w:val="24"/>
          <w:lang w:val="ca-ES"/>
        </w:rPr>
        <w:t xml:space="preserve"> com a Espanya i Catalunya. </w:t>
      </w:r>
      <w:r w:rsidR="008A1E66">
        <w:rPr>
          <w:sz w:val="24"/>
          <w:szCs w:val="24"/>
          <w:lang w:val="ca-ES"/>
        </w:rPr>
        <w:t>Per una b</w:t>
      </w:r>
      <w:r w:rsidR="008F0022">
        <w:rPr>
          <w:sz w:val="24"/>
          <w:szCs w:val="24"/>
          <w:lang w:val="ca-ES"/>
        </w:rPr>
        <w:t>anda, la segregació horitzontal</w:t>
      </w:r>
      <w:r w:rsidR="008A1E66">
        <w:rPr>
          <w:sz w:val="24"/>
          <w:szCs w:val="24"/>
          <w:lang w:val="ca-ES"/>
        </w:rPr>
        <w:t xml:space="preserve"> situa les dones en sectors d’activitat i ocupacions que estan pitjor remunerades al mercat laboral. Per l’altra, la segregació vertical limita l’ascens i promoció de les dones a la seva carrera professional, obtenint així menys ingressos</w:t>
      </w:r>
      <w:r w:rsidR="008F0022">
        <w:rPr>
          <w:sz w:val="24"/>
          <w:szCs w:val="24"/>
          <w:lang w:val="ca-ES"/>
        </w:rPr>
        <w:t xml:space="preserve">. </w:t>
      </w:r>
      <w:r w:rsidR="003E684A">
        <w:rPr>
          <w:sz w:val="24"/>
          <w:szCs w:val="24"/>
          <w:lang w:val="ca-ES"/>
        </w:rPr>
        <w:t>La menor valoració dels llocs de treball tradicionalment feminitzats, les diferències retributives en el cobrament de complements salarials i extrasalarials així com altres tipus de discriminacions indirectes</w:t>
      </w:r>
      <w:r w:rsidR="00D93C6B">
        <w:rPr>
          <w:sz w:val="24"/>
          <w:szCs w:val="24"/>
          <w:lang w:val="ca-ES"/>
        </w:rPr>
        <w:t xml:space="preserve"> i directes</w:t>
      </w:r>
      <w:r w:rsidR="003E684A">
        <w:rPr>
          <w:sz w:val="24"/>
          <w:szCs w:val="24"/>
          <w:lang w:val="ca-ES"/>
        </w:rPr>
        <w:t>, són també raons que expliquen una remuneració final menor en dones que en homes.</w:t>
      </w:r>
    </w:p>
    <w:p w:rsidR="008F0022" w:rsidRPr="005324C6" w:rsidRDefault="008F0022" w:rsidP="00035611">
      <w:pPr>
        <w:jc w:val="both"/>
        <w:rPr>
          <w:b/>
          <w:sz w:val="24"/>
          <w:szCs w:val="24"/>
          <w:lang w:val="ca-ES"/>
        </w:rPr>
      </w:pPr>
      <w:r w:rsidRPr="005324C6">
        <w:rPr>
          <w:b/>
          <w:sz w:val="24"/>
          <w:szCs w:val="24"/>
          <w:lang w:val="ca-ES"/>
        </w:rPr>
        <w:t>Els rols de gènere juguen un paper clau en el la formació de la bretxa salarial,</w:t>
      </w:r>
      <w:r w:rsidRPr="005324C6">
        <w:rPr>
          <w:sz w:val="24"/>
          <w:szCs w:val="24"/>
          <w:lang w:val="ca-ES"/>
        </w:rPr>
        <w:t xml:space="preserve"> </w:t>
      </w:r>
      <w:r w:rsidR="007B2619" w:rsidRPr="005324C6">
        <w:rPr>
          <w:sz w:val="24"/>
          <w:szCs w:val="24"/>
          <w:lang w:val="ca-ES"/>
        </w:rPr>
        <w:t xml:space="preserve">especialment a través de l’assignació social del rol de cura i reproducció a les dones. Són elles </w:t>
      </w:r>
      <w:r w:rsidRPr="005324C6">
        <w:rPr>
          <w:sz w:val="24"/>
          <w:szCs w:val="24"/>
          <w:lang w:val="ca-ES"/>
        </w:rPr>
        <w:t>les que encara ara concilien la vida familiar amb la laboral de forma majoritària. En aquest sentit</w:t>
      </w:r>
      <w:r w:rsidRPr="005324C6">
        <w:rPr>
          <w:b/>
          <w:sz w:val="24"/>
          <w:szCs w:val="24"/>
          <w:lang w:val="ca-ES"/>
        </w:rPr>
        <w:t>, la bretxa salarial augmenta durant els cicles vitals on les necess</w:t>
      </w:r>
      <w:r w:rsidR="007B2619" w:rsidRPr="005324C6">
        <w:rPr>
          <w:b/>
          <w:sz w:val="24"/>
          <w:szCs w:val="24"/>
          <w:lang w:val="ca-ES"/>
        </w:rPr>
        <w:t>itats de conciliació són majors</w:t>
      </w:r>
      <w:r w:rsidR="00137046" w:rsidRPr="005324C6">
        <w:rPr>
          <w:b/>
          <w:sz w:val="24"/>
          <w:szCs w:val="24"/>
          <w:lang w:val="ca-ES"/>
        </w:rPr>
        <w:t>, accentuant-se aquesta amb el temps.</w:t>
      </w:r>
    </w:p>
    <w:p w:rsidR="004B52D7" w:rsidRDefault="007A4D15" w:rsidP="00035611">
      <w:pPr>
        <w:jc w:val="both"/>
        <w:rPr>
          <w:sz w:val="24"/>
          <w:szCs w:val="24"/>
          <w:lang w:val="ca-ES"/>
        </w:rPr>
      </w:pPr>
      <w:r w:rsidRPr="004B52D7">
        <w:rPr>
          <w:sz w:val="24"/>
          <w:szCs w:val="24"/>
          <w:lang w:val="ca-ES"/>
        </w:rPr>
        <w:t xml:space="preserve">A Catalunya, </w:t>
      </w:r>
      <w:r w:rsidR="004B52D7" w:rsidRPr="004B52D7">
        <w:rPr>
          <w:sz w:val="24"/>
          <w:szCs w:val="24"/>
          <w:lang w:val="ca-ES"/>
        </w:rPr>
        <w:t>el guany mitjà anual dels homes el 2013 a Catalunya va ser de 27.684 euros, mentre el de les dones va ser</w:t>
      </w:r>
      <w:r w:rsidR="004B52D7">
        <w:rPr>
          <w:sz w:val="24"/>
          <w:szCs w:val="24"/>
          <w:lang w:val="ca-ES"/>
        </w:rPr>
        <w:t xml:space="preserve"> de 20.741 euros, un 25,1% menor que els homes.</w:t>
      </w:r>
      <w:r w:rsidR="00826C38">
        <w:rPr>
          <w:sz w:val="24"/>
          <w:szCs w:val="24"/>
          <w:lang w:val="ca-ES"/>
        </w:rPr>
        <w:t xml:space="preserve"> </w:t>
      </w:r>
      <w:r w:rsidR="00395E9A">
        <w:rPr>
          <w:sz w:val="24"/>
          <w:szCs w:val="24"/>
          <w:lang w:val="ca-ES"/>
        </w:rPr>
        <w:t>A Espanya, els sa</w:t>
      </w:r>
      <w:r w:rsidR="004B52D7">
        <w:rPr>
          <w:sz w:val="24"/>
          <w:szCs w:val="24"/>
          <w:lang w:val="ca-ES"/>
        </w:rPr>
        <w:t xml:space="preserve">laris percebuts per dones i per homes (19.515 i 25.675 euros respectivament) </w:t>
      </w:r>
      <w:r w:rsidR="00395E9A">
        <w:rPr>
          <w:sz w:val="24"/>
          <w:szCs w:val="24"/>
          <w:lang w:val="ca-ES"/>
        </w:rPr>
        <w:t xml:space="preserve">van situar la bretxa </w:t>
      </w:r>
      <w:r w:rsidR="004B52D7">
        <w:rPr>
          <w:sz w:val="24"/>
          <w:szCs w:val="24"/>
          <w:lang w:val="ca-ES"/>
        </w:rPr>
        <w:t>en un 24%.</w:t>
      </w:r>
    </w:p>
    <w:p w:rsidR="00826C38" w:rsidRPr="00826C38" w:rsidRDefault="00826C38" w:rsidP="00826C38">
      <w:pPr>
        <w:jc w:val="center"/>
        <w:rPr>
          <w:b/>
          <w:sz w:val="24"/>
          <w:szCs w:val="24"/>
          <w:u w:val="single"/>
          <w:lang w:val="ca-ES"/>
        </w:rPr>
      </w:pPr>
      <w:r w:rsidRPr="00826C38">
        <w:rPr>
          <w:b/>
          <w:sz w:val="24"/>
          <w:szCs w:val="24"/>
          <w:u w:val="single"/>
          <w:lang w:val="ca-ES"/>
        </w:rPr>
        <w:t>Salaris mitjans de dones i homes a Catalunya i Espanya, 2013</w:t>
      </w:r>
    </w:p>
    <w:p w:rsidR="00215AFE" w:rsidRDefault="00826C38" w:rsidP="00826C38">
      <w:pPr>
        <w:jc w:val="center"/>
        <w:rPr>
          <w:sz w:val="24"/>
          <w:szCs w:val="24"/>
          <w:lang w:val="ca-ES"/>
        </w:rPr>
      </w:pPr>
      <w:r w:rsidRPr="00826C38">
        <w:rPr>
          <w:noProof/>
          <w:szCs w:val="24"/>
        </w:rPr>
        <w:drawing>
          <wp:inline distT="0" distB="0" distL="0" distR="0">
            <wp:extent cx="2781300" cy="647700"/>
            <wp:effectExtent l="19050" t="0" r="0" b="0"/>
            <wp:docPr id="2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781300" cy="647700"/>
                    </a:xfrm>
                    <a:prstGeom prst="rect">
                      <a:avLst/>
                    </a:prstGeom>
                    <a:noFill/>
                    <a:ln w="9525">
                      <a:noFill/>
                      <a:miter lim="800000"/>
                      <a:headEnd/>
                      <a:tailEnd/>
                    </a:ln>
                  </pic:spPr>
                </pic:pic>
              </a:graphicData>
            </a:graphic>
          </wp:inline>
        </w:drawing>
      </w:r>
    </w:p>
    <w:p w:rsidR="00826C38" w:rsidRPr="00826C38" w:rsidRDefault="00826C38" w:rsidP="00826C38">
      <w:pPr>
        <w:jc w:val="center"/>
        <w:rPr>
          <w:sz w:val="20"/>
          <w:szCs w:val="20"/>
          <w:lang w:val="ca-ES"/>
        </w:rPr>
      </w:pPr>
      <w:r w:rsidRPr="00826C38">
        <w:rPr>
          <w:sz w:val="20"/>
          <w:szCs w:val="20"/>
          <w:lang w:val="ca-ES"/>
        </w:rPr>
        <w:t>Fon: Enquesta Anual d’Estructura Salarial, INE</w:t>
      </w:r>
    </w:p>
    <w:p w:rsidR="007A4D15" w:rsidRDefault="00395E9A" w:rsidP="00035611">
      <w:pPr>
        <w:pStyle w:val="Prrafodelista"/>
        <w:numPr>
          <w:ilvl w:val="0"/>
          <w:numId w:val="4"/>
        </w:numPr>
        <w:ind w:left="284" w:hanging="284"/>
        <w:jc w:val="both"/>
        <w:rPr>
          <w:b/>
          <w:color w:val="C00000"/>
          <w:sz w:val="28"/>
          <w:szCs w:val="28"/>
          <w:u w:val="single"/>
          <w:lang w:val="ca-ES"/>
        </w:rPr>
      </w:pPr>
      <w:r w:rsidRPr="00E26791">
        <w:rPr>
          <w:b/>
          <w:color w:val="C00000"/>
          <w:sz w:val="28"/>
          <w:szCs w:val="28"/>
          <w:u w:val="single"/>
          <w:lang w:val="ca-ES"/>
        </w:rPr>
        <w:t xml:space="preserve">Evolució de la bretxa salarial </w:t>
      </w:r>
    </w:p>
    <w:p w:rsidR="00E26791" w:rsidRDefault="00354AE9" w:rsidP="00E26791">
      <w:pPr>
        <w:jc w:val="both"/>
        <w:rPr>
          <w:sz w:val="24"/>
          <w:szCs w:val="24"/>
          <w:lang w:val="ca-ES"/>
        </w:rPr>
      </w:pPr>
      <w:r>
        <w:rPr>
          <w:sz w:val="24"/>
          <w:szCs w:val="24"/>
          <w:lang w:val="ca-ES"/>
        </w:rPr>
        <w:t xml:space="preserve">Les </w:t>
      </w:r>
      <w:r w:rsidR="003E684A">
        <w:rPr>
          <w:sz w:val="24"/>
          <w:szCs w:val="24"/>
          <w:lang w:val="ca-ES"/>
        </w:rPr>
        <w:t>desigualtats d’ingressos entre dones i homes ha estat sempre elevada, per les raons abans esmentades</w:t>
      </w:r>
      <w:r w:rsidR="00D93C6B">
        <w:rPr>
          <w:sz w:val="24"/>
          <w:szCs w:val="24"/>
          <w:lang w:val="ca-ES"/>
        </w:rPr>
        <w:t xml:space="preserve">. Però la crisi sembla haver agreujat aquesta situació. A Espanya, la taxa no ha deixat de créixer des del 2008, que ha passat d’un 21,9% el 2008 a un 24% el 2013. A Catalunya, si bé aquesta evolució no ha </w:t>
      </w:r>
      <w:r w:rsidR="00D93C6B">
        <w:rPr>
          <w:sz w:val="24"/>
          <w:szCs w:val="24"/>
          <w:lang w:val="ca-ES"/>
        </w:rPr>
        <w:lastRenderedPageBreak/>
        <w:t>estat tant lineal, aquesta ha estat igualment creixent, passant d’una bretxa del 24,4% al 2008 fins el 25,1% al 2013.</w:t>
      </w:r>
    </w:p>
    <w:p w:rsidR="008F2F1C" w:rsidRPr="008F2F1C" w:rsidRDefault="008F2F1C" w:rsidP="008F2F1C">
      <w:pPr>
        <w:jc w:val="center"/>
        <w:rPr>
          <w:b/>
          <w:sz w:val="24"/>
          <w:szCs w:val="24"/>
          <w:u w:val="single"/>
          <w:lang w:val="ca-ES"/>
        </w:rPr>
      </w:pPr>
      <w:r w:rsidRPr="008F2F1C">
        <w:rPr>
          <w:b/>
          <w:sz w:val="24"/>
          <w:szCs w:val="24"/>
          <w:u w:val="single"/>
          <w:lang w:val="ca-ES"/>
        </w:rPr>
        <w:t>Evolució de la bretxa salarial. Catalunya i Espanya, 2008-2013</w:t>
      </w:r>
    </w:p>
    <w:p w:rsidR="001E5BCA" w:rsidRDefault="001E5BCA" w:rsidP="00035611">
      <w:pPr>
        <w:pStyle w:val="Prrafodelista"/>
        <w:jc w:val="both"/>
        <w:rPr>
          <w:sz w:val="24"/>
          <w:szCs w:val="24"/>
          <w:lang w:val="ca-ES"/>
        </w:rPr>
      </w:pPr>
      <w:r w:rsidRPr="001E5BCA">
        <w:rPr>
          <w:noProof/>
          <w:szCs w:val="24"/>
        </w:rPr>
        <w:drawing>
          <wp:inline distT="0" distB="0" distL="0" distR="0">
            <wp:extent cx="4092092" cy="2339583"/>
            <wp:effectExtent l="19050" t="0" r="3658"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92576" cy="2339860"/>
                    </a:xfrm>
                    <a:prstGeom prst="rect">
                      <a:avLst/>
                    </a:prstGeom>
                    <a:noFill/>
                    <a:ln w="9525">
                      <a:noFill/>
                      <a:miter lim="800000"/>
                      <a:headEnd/>
                      <a:tailEnd/>
                    </a:ln>
                  </pic:spPr>
                </pic:pic>
              </a:graphicData>
            </a:graphic>
          </wp:inline>
        </w:drawing>
      </w:r>
    </w:p>
    <w:p w:rsidR="008F2F1C" w:rsidRDefault="008F2F1C" w:rsidP="00035611">
      <w:pPr>
        <w:pStyle w:val="Prrafodelista"/>
        <w:jc w:val="both"/>
        <w:rPr>
          <w:sz w:val="20"/>
          <w:szCs w:val="20"/>
          <w:lang w:val="ca-ES"/>
        </w:rPr>
      </w:pPr>
      <w:r w:rsidRPr="00354AE9">
        <w:rPr>
          <w:sz w:val="20"/>
          <w:szCs w:val="20"/>
          <w:lang w:val="ca-ES"/>
        </w:rPr>
        <w:t>Font: Elaboració pròpia a partir de dades de l’EAES, IN</w:t>
      </w:r>
      <w:r w:rsidR="00354AE9">
        <w:rPr>
          <w:sz w:val="20"/>
          <w:szCs w:val="20"/>
          <w:lang w:val="ca-ES"/>
        </w:rPr>
        <w:t>E</w:t>
      </w:r>
    </w:p>
    <w:p w:rsidR="000D3740" w:rsidRPr="00354AE9" w:rsidRDefault="000D3740" w:rsidP="00215AFE">
      <w:pPr>
        <w:jc w:val="both"/>
        <w:rPr>
          <w:sz w:val="20"/>
          <w:szCs w:val="20"/>
          <w:lang w:val="ca-ES"/>
        </w:rPr>
      </w:pPr>
    </w:p>
    <w:p w:rsidR="00E42FE4" w:rsidRDefault="00E42FE4" w:rsidP="00215AFE">
      <w:pPr>
        <w:pStyle w:val="Prrafodelista"/>
        <w:numPr>
          <w:ilvl w:val="0"/>
          <w:numId w:val="4"/>
        </w:numPr>
        <w:ind w:left="284" w:hanging="284"/>
        <w:jc w:val="both"/>
        <w:rPr>
          <w:b/>
          <w:color w:val="C00000"/>
          <w:sz w:val="28"/>
          <w:szCs w:val="28"/>
          <w:u w:val="single"/>
          <w:lang w:val="ca-ES"/>
        </w:rPr>
      </w:pPr>
      <w:r w:rsidRPr="000D3740">
        <w:rPr>
          <w:b/>
          <w:color w:val="C00000"/>
          <w:sz w:val="28"/>
          <w:szCs w:val="28"/>
          <w:u w:val="single"/>
          <w:lang w:val="ca-ES"/>
        </w:rPr>
        <w:t>Evolució de la bretxa amb l’edat</w:t>
      </w:r>
    </w:p>
    <w:p w:rsidR="00215AFE" w:rsidRPr="00215AFE" w:rsidRDefault="00215AFE" w:rsidP="00215AFE">
      <w:pPr>
        <w:jc w:val="both"/>
        <w:rPr>
          <w:sz w:val="24"/>
          <w:szCs w:val="24"/>
          <w:lang w:val="ca-ES"/>
        </w:rPr>
      </w:pPr>
      <w:r>
        <w:rPr>
          <w:sz w:val="24"/>
          <w:szCs w:val="24"/>
          <w:lang w:val="ca-ES"/>
        </w:rPr>
        <w:t xml:space="preserve">Tal i com </w:t>
      </w:r>
      <w:r w:rsidR="004071BD">
        <w:rPr>
          <w:sz w:val="24"/>
          <w:szCs w:val="24"/>
          <w:lang w:val="ca-ES"/>
        </w:rPr>
        <w:t>abans indicàvem, de mitjana, al 2013 els homes a Catalunya van tenir guanys un 25,1% superior a les dones. Si descomponem però la bretxa per franja d’edats, observem que hi ha franges on la diferència salarial entre dones i homes és molt més elevada.</w:t>
      </w:r>
    </w:p>
    <w:p w:rsidR="00215AFE" w:rsidRDefault="00215AFE" w:rsidP="00215AFE">
      <w:pPr>
        <w:jc w:val="center"/>
        <w:rPr>
          <w:b/>
          <w:sz w:val="24"/>
          <w:szCs w:val="24"/>
          <w:u w:val="single"/>
          <w:lang w:val="ca-ES"/>
        </w:rPr>
      </w:pPr>
      <w:r w:rsidRPr="004B52D7">
        <w:rPr>
          <w:b/>
          <w:sz w:val="24"/>
          <w:szCs w:val="24"/>
          <w:u w:val="single"/>
          <w:lang w:val="ca-ES"/>
        </w:rPr>
        <w:t xml:space="preserve">Guany mitjà anual. </w:t>
      </w:r>
      <w:r w:rsidR="001E06EE">
        <w:rPr>
          <w:b/>
          <w:sz w:val="24"/>
          <w:szCs w:val="24"/>
          <w:u w:val="single"/>
          <w:lang w:val="ca-ES"/>
        </w:rPr>
        <w:t xml:space="preserve">Euros, </w:t>
      </w:r>
      <w:r w:rsidRPr="004B52D7">
        <w:rPr>
          <w:b/>
          <w:sz w:val="24"/>
          <w:szCs w:val="24"/>
          <w:u w:val="single"/>
          <w:lang w:val="ca-ES"/>
        </w:rPr>
        <w:t>Catalunya, 2013</w:t>
      </w:r>
    </w:p>
    <w:p w:rsidR="004071BD" w:rsidRDefault="004071BD" w:rsidP="00215AFE">
      <w:pPr>
        <w:jc w:val="center"/>
        <w:rPr>
          <w:sz w:val="20"/>
          <w:szCs w:val="20"/>
          <w:lang w:val="ca-ES"/>
        </w:rPr>
      </w:pPr>
      <w:r w:rsidRPr="004071BD">
        <w:rPr>
          <w:noProof/>
          <w:szCs w:val="24"/>
        </w:rPr>
        <w:drawing>
          <wp:inline distT="0" distB="0" distL="0" distR="0">
            <wp:extent cx="3321050" cy="1673225"/>
            <wp:effectExtent l="19050" t="0" r="0" b="0"/>
            <wp:docPr id="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3321050" cy="1673225"/>
                    </a:xfrm>
                    <a:prstGeom prst="rect">
                      <a:avLst/>
                    </a:prstGeom>
                    <a:noFill/>
                    <a:ln w="9525">
                      <a:noFill/>
                      <a:miter lim="800000"/>
                      <a:headEnd/>
                      <a:tailEnd/>
                    </a:ln>
                  </pic:spPr>
                </pic:pic>
              </a:graphicData>
            </a:graphic>
          </wp:inline>
        </w:drawing>
      </w:r>
    </w:p>
    <w:p w:rsidR="00215AFE" w:rsidRDefault="00215AFE" w:rsidP="00215AFE">
      <w:pPr>
        <w:jc w:val="center"/>
        <w:rPr>
          <w:sz w:val="20"/>
          <w:szCs w:val="20"/>
          <w:lang w:val="ca-ES"/>
        </w:rPr>
      </w:pPr>
      <w:r w:rsidRPr="004B52D7">
        <w:rPr>
          <w:sz w:val="20"/>
          <w:szCs w:val="20"/>
          <w:lang w:val="ca-ES"/>
        </w:rPr>
        <w:t>Font: Enquesta Anual d’Estructura Salarial</w:t>
      </w:r>
      <w:r>
        <w:rPr>
          <w:rStyle w:val="Refdenotaalpie"/>
          <w:sz w:val="20"/>
          <w:szCs w:val="20"/>
          <w:lang w:val="ca-ES"/>
        </w:rPr>
        <w:footnoteReference w:id="2"/>
      </w:r>
      <w:r w:rsidRPr="004B52D7">
        <w:rPr>
          <w:sz w:val="20"/>
          <w:szCs w:val="20"/>
          <w:lang w:val="ca-ES"/>
        </w:rPr>
        <w:t>, INE</w:t>
      </w:r>
    </w:p>
    <w:p w:rsidR="001E06EE" w:rsidRPr="001E06EE" w:rsidRDefault="001E06EE" w:rsidP="00215AFE">
      <w:pPr>
        <w:jc w:val="center"/>
        <w:rPr>
          <w:b/>
          <w:sz w:val="24"/>
          <w:szCs w:val="24"/>
          <w:u w:val="single"/>
          <w:lang w:val="ca-ES"/>
        </w:rPr>
      </w:pPr>
      <w:r w:rsidRPr="001E06EE">
        <w:rPr>
          <w:b/>
          <w:sz w:val="24"/>
          <w:szCs w:val="24"/>
          <w:u w:val="single"/>
          <w:lang w:val="ca-ES"/>
        </w:rPr>
        <w:t>Augment de</w:t>
      </w:r>
      <w:r w:rsidR="00D444AB">
        <w:rPr>
          <w:b/>
          <w:sz w:val="24"/>
          <w:szCs w:val="24"/>
          <w:u w:val="single"/>
          <w:lang w:val="ca-ES"/>
        </w:rPr>
        <w:t>ls</w:t>
      </w:r>
      <w:r w:rsidRPr="001E06EE">
        <w:rPr>
          <w:b/>
          <w:sz w:val="24"/>
          <w:szCs w:val="24"/>
          <w:u w:val="single"/>
          <w:lang w:val="ca-ES"/>
        </w:rPr>
        <w:t xml:space="preserve"> salaris entre generacions. Euros, Catalunya, 2013</w:t>
      </w:r>
    </w:p>
    <w:p w:rsidR="001E06EE" w:rsidRDefault="001E06EE" w:rsidP="001E06EE">
      <w:pPr>
        <w:jc w:val="center"/>
        <w:rPr>
          <w:sz w:val="24"/>
          <w:szCs w:val="24"/>
          <w:lang w:val="ca-ES"/>
        </w:rPr>
      </w:pPr>
      <w:r w:rsidRPr="00B55798">
        <w:rPr>
          <w:noProof/>
          <w:szCs w:val="24"/>
        </w:rPr>
        <w:drawing>
          <wp:inline distT="0" distB="0" distL="0" distR="0">
            <wp:extent cx="3502025" cy="1457960"/>
            <wp:effectExtent l="19050" t="0" r="3175" b="0"/>
            <wp:docPr id="2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502025" cy="1457960"/>
                    </a:xfrm>
                    <a:prstGeom prst="rect">
                      <a:avLst/>
                    </a:prstGeom>
                    <a:noFill/>
                    <a:ln w="9525">
                      <a:noFill/>
                      <a:miter lim="800000"/>
                      <a:headEnd/>
                      <a:tailEnd/>
                    </a:ln>
                  </pic:spPr>
                </pic:pic>
              </a:graphicData>
            </a:graphic>
          </wp:inline>
        </w:drawing>
      </w:r>
    </w:p>
    <w:p w:rsidR="001E06EE" w:rsidRPr="009604D0" w:rsidRDefault="001E06EE" w:rsidP="001E06EE">
      <w:pPr>
        <w:jc w:val="center"/>
        <w:rPr>
          <w:sz w:val="20"/>
          <w:szCs w:val="20"/>
          <w:lang w:val="ca-ES"/>
        </w:rPr>
      </w:pPr>
      <w:r w:rsidRPr="009604D0">
        <w:rPr>
          <w:sz w:val="20"/>
          <w:szCs w:val="20"/>
          <w:lang w:val="ca-ES"/>
        </w:rPr>
        <w:t>Font: Elaboració pròpia a partir de l’EAES, INE</w:t>
      </w:r>
    </w:p>
    <w:p w:rsidR="0016714E" w:rsidRDefault="0016714E" w:rsidP="0016714E">
      <w:pPr>
        <w:jc w:val="both"/>
        <w:rPr>
          <w:sz w:val="24"/>
          <w:szCs w:val="24"/>
          <w:lang w:val="ca-ES"/>
        </w:rPr>
      </w:pPr>
      <w:r>
        <w:rPr>
          <w:sz w:val="24"/>
          <w:szCs w:val="24"/>
          <w:lang w:val="ca-ES"/>
        </w:rPr>
        <w:t>Amb l’edat, tant els guanys de les dones com els dels homes segueixen una pauta creixent. Així, en el cas de les dones, aquests passen de ser de 8.949 euros per a les menors de 25 anys i arriben als 22.172 entre les majors de 55 anys.</w:t>
      </w:r>
      <w:r w:rsidR="00B55798">
        <w:rPr>
          <w:sz w:val="24"/>
          <w:szCs w:val="24"/>
          <w:lang w:val="ca-ES"/>
        </w:rPr>
        <w:t xml:space="preserve"> L’augment acumulat és de 13.223 euros.</w:t>
      </w:r>
    </w:p>
    <w:p w:rsidR="0016714E" w:rsidRDefault="0016714E" w:rsidP="0016714E">
      <w:pPr>
        <w:jc w:val="both"/>
        <w:rPr>
          <w:sz w:val="24"/>
          <w:szCs w:val="24"/>
          <w:lang w:val="ca-ES"/>
        </w:rPr>
      </w:pPr>
      <w:r>
        <w:rPr>
          <w:sz w:val="24"/>
          <w:szCs w:val="24"/>
          <w:lang w:val="ca-ES"/>
        </w:rPr>
        <w:t>Si bé el comportament creixent dels salaris amb l’edat és també creixent per a ells, els augments d’ingressos entre franja i franja d’edat són molt més elevats que per a les dones. Els menors de 25 anys parteixen d’una mitjana salarial de 12.016 euros, que augmenta fins els 31.263 euros entre els majors de 55 anys.</w:t>
      </w:r>
      <w:r w:rsidR="00B55798">
        <w:rPr>
          <w:sz w:val="24"/>
          <w:szCs w:val="24"/>
          <w:lang w:val="ca-ES"/>
        </w:rPr>
        <w:t xml:space="preserve"> El seu augment salarial acumulat és de 19.247 euros.</w:t>
      </w:r>
    </w:p>
    <w:p w:rsidR="0016714E" w:rsidRDefault="00671620" w:rsidP="0016714E">
      <w:pPr>
        <w:jc w:val="both"/>
        <w:rPr>
          <w:sz w:val="24"/>
          <w:szCs w:val="24"/>
          <w:lang w:val="ca-ES"/>
        </w:rPr>
      </w:pPr>
      <w:r>
        <w:rPr>
          <w:sz w:val="24"/>
          <w:szCs w:val="24"/>
          <w:lang w:val="ca-ES"/>
        </w:rPr>
        <w:t>Les dones parteixen, ja de joves, d’una diferència salarial del 25,5% respecte els homes: elles cobren de mitjana 8.949 euros i ells 12.016 euros. A la generació següent, la dels 25 als 34 anys, tant els ingressos de dones com d’homes augmenten al voltant dels 8.800 euros. Això fa que la bretxa baixi fins a un 14,6%.</w:t>
      </w:r>
    </w:p>
    <w:p w:rsidR="00671620" w:rsidRDefault="00671620" w:rsidP="0016714E">
      <w:pPr>
        <w:jc w:val="both"/>
        <w:rPr>
          <w:sz w:val="24"/>
          <w:szCs w:val="24"/>
          <w:lang w:val="ca-ES"/>
        </w:rPr>
      </w:pPr>
      <w:r>
        <w:rPr>
          <w:sz w:val="24"/>
          <w:szCs w:val="24"/>
          <w:lang w:val="ca-ES"/>
        </w:rPr>
        <w:t xml:space="preserve">A la generació següent, la dels 35 a 44 anys, elles </w:t>
      </w:r>
      <w:r w:rsidR="00123320">
        <w:rPr>
          <w:sz w:val="24"/>
          <w:szCs w:val="24"/>
          <w:lang w:val="ca-ES"/>
        </w:rPr>
        <w:t>cobren 4.254 euros més que l’anterior. L’augment entre les dues generacions masculines, en canvi és molt major, de 7.495 euros.</w:t>
      </w:r>
      <w:r w:rsidR="009604D0">
        <w:rPr>
          <w:sz w:val="24"/>
          <w:szCs w:val="24"/>
          <w:lang w:val="ca-ES"/>
        </w:rPr>
        <w:t xml:space="preserve"> Aquí, la bretxa és del 22,2%.</w:t>
      </w:r>
    </w:p>
    <w:p w:rsidR="00123320" w:rsidRDefault="00123320" w:rsidP="0016714E">
      <w:pPr>
        <w:jc w:val="both"/>
        <w:rPr>
          <w:sz w:val="24"/>
          <w:szCs w:val="24"/>
          <w:lang w:val="ca-ES"/>
        </w:rPr>
      </w:pPr>
      <w:r>
        <w:rPr>
          <w:sz w:val="24"/>
          <w:szCs w:val="24"/>
          <w:lang w:val="ca-ES"/>
        </w:rPr>
        <w:t>Seguidament, les dones de 45 a 54 anys cobren gairebé el mateix que la generació anterior, tan sols veuen augmentats els ingressos en 84 euros. Els homes en canvi, continuen amb uns ingressos creixents, aquest cop 3.240 euros superiors a la generació anterior.</w:t>
      </w:r>
      <w:r w:rsidR="009604D0">
        <w:rPr>
          <w:sz w:val="24"/>
          <w:szCs w:val="24"/>
          <w:lang w:val="ca-ES"/>
        </w:rPr>
        <w:t xml:space="preserve"> Això fa que la bretxa augmenti considerablement fins un 29,9%.</w:t>
      </w:r>
    </w:p>
    <w:p w:rsidR="009604D0" w:rsidRDefault="00123320" w:rsidP="0016714E">
      <w:pPr>
        <w:jc w:val="both"/>
        <w:rPr>
          <w:sz w:val="24"/>
          <w:szCs w:val="24"/>
          <w:lang w:val="ca-ES"/>
        </w:rPr>
      </w:pPr>
      <w:r>
        <w:rPr>
          <w:sz w:val="24"/>
          <w:szCs w:val="24"/>
          <w:lang w:val="ca-ES"/>
        </w:rPr>
        <w:t xml:space="preserve">A la darrera generació, la de 55 anys i més, les dones segueixen estancades, </w:t>
      </w:r>
      <w:r w:rsidR="001E06EE">
        <w:rPr>
          <w:sz w:val="24"/>
          <w:szCs w:val="24"/>
          <w:lang w:val="ca-ES"/>
        </w:rPr>
        <w:t>perceben un</w:t>
      </w:r>
      <w:r>
        <w:rPr>
          <w:sz w:val="24"/>
          <w:szCs w:val="24"/>
          <w:lang w:val="ca-ES"/>
        </w:rPr>
        <w:t xml:space="preserve"> lleuger augment de 74 euros, mentre ells veuen disminuir lleugerame</w:t>
      </w:r>
      <w:r w:rsidR="009604D0">
        <w:rPr>
          <w:sz w:val="24"/>
          <w:szCs w:val="24"/>
          <w:lang w:val="ca-ES"/>
        </w:rPr>
        <w:t>nt els ingressos, en 277 euros. La bretxa es manté així molt elevada, en un 29,1%.</w:t>
      </w:r>
    </w:p>
    <w:p w:rsidR="0016714E" w:rsidRDefault="0016714E" w:rsidP="0016714E">
      <w:pPr>
        <w:jc w:val="both"/>
        <w:rPr>
          <w:sz w:val="24"/>
          <w:szCs w:val="24"/>
          <w:lang w:val="ca-ES"/>
        </w:rPr>
      </w:pPr>
      <w:r>
        <w:rPr>
          <w:sz w:val="24"/>
          <w:szCs w:val="24"/>
          <w:lang w:val="ca-ES"/>
        </w:rPr>
        <w:t>De les xifres, se’n poden treure vàries conclusions:</w:t>
      </w:r>
    </w:p>
    <w:p w:rsidR="0016714E" w:rsidRDefault="0016714E" w:rsidP="00D444AB">
      <w:pPr>
        <w:pStyle w:val="Prrafodelista"/>
        <w:numPr>
          <w:ilvl w:val="0"/>
          <w:numId w:val="5"/>
        </w:numPr>
        <w:jc w:val="both"/>
        <w:rPr>
          <w:sz w:val="24"/>
          <w:szCs w:val="24"/>
          <w:lang w:val="ca-ES"/>
        </w:rPr>
      </w:pPr>
      <w:r w:rsidRPr="00D444AB">
        <w:rPr>
          <w:sz w:val="24"/>
          <w:szCs w:val="24"/>
          <w:lang w:val="ca-ES"/>
        </w:rPr>
        <w:t xml:space="preserve">La incorporació al mercat laboral dels i les joves, es produeix </w:t>
      </w:r>
      <w:r w:rsidR="00D444AB" w:rsidRPr="00D444AB">
        <w:rPr>
          <w:sz w:val="24"/>
          <w:szCs w:val="24"/>
          <w:lang w:val="ca-ES"/>
        </w:rPr>
        <w:t>ja en desigualtat salarial. Tot i els baixos salaris, elles cobren un 25,5% menys que els homes.</w:t>
      </w:r>
      <w:r w:rsidR="00D444AB">
        <w:rPr>
          <w:sz w:val="24"/>
          <w:szCs w:val="24"/>
          <w:lang w:val="ca-ES"/>
        </w:rPr>
        <w:t xml:space="preserve"> Aquesta diferència té a veure, en part, amb la segregació ocupacional, a través de la qual les dones treballen en sectors i ocupacions menys remunerades al mercat laboral.</w:t>
      </w:r>
    </w:p>
    <w:p w:rsidR="00D444AB" w:rsidRPr="00D444AB" w:rsidRDefault="00D444AB" w:rsidP="00D444AB">
      <w:pPr>
        <w:pStyle w:val="Prrafodelista"/>
        <w:jc w:val="both"/>
        <w:rPr>
          <w:sz w:val="24"/>
          <w:szCs w:val="24"/>
          <w:lang w:val="ca-ES"/>
        </w:rPr>
      </w:pPr>
    </w:p>
    <w:p w:rsidR="00D444AB" w:rsidRDefault="00D444AB" w:rsidP="00D444AB">
      <w:pPr>
        <w:pStyle w:val="Prrafodelista"/>
        <w:numPr>
          <w:ilvl w:val="0"/>
          <w:numId w:val="5"/>
        </w:numPr>
        <w:jc w:val="both"/>
        <w:rPr>
          <w:sz w:val="24"/>
          <w:szCs w:val="24"/>
          <w:lang w:val="ca-ES"/>
        </w:rPr>
      </w:pPr>
      <w:r w:rsidRPr="00D444AB">
        <w:rPr>
          <w:sz w:val="24"/>
          <w:szCs w:val="24"/>
          <w:lang w:val="ca-ES"/>
        </w:rPr>
        <w:t>La primera generació que està plenament incorporada al mercat laboral</w:t>
      </w:r>
      <w:r>
        <w:rPr>
          <w:sz w:val="24"/>
          <w:szCs w:val="24"/>
          <w:lang w:val="ca-ES"/>
        </w:rPr>
        <w:t xml:space="preserve"> (la dels 25 als 34 anys) </w:t>
      </w:r>
      <w:r w:rsidRPr="00D444AB">
        <w:rPr>
          <w:sz w:val="24"/>
          <w:szCs w:val="24"/>
          <w:lang w:val="ca-ES"/>
        </w:rPr>
        <w:t>augmenta els ingressos</w:t>
      </w:r>
      <w:r>
        <w:rPr>
          <w:sz w:val="24"/>
          <w:szCs w:val="24"/>
          <w:lang w:val="ca-ES"/>
        </w:rPr>
        <w:t xml:space="preserve"> respecte la generació anterior</w:t>
      </w:r>
      <w:r w:rsidRPr="00D444AB">
        <w:rPr>
          <w:sz w:val="24"/>
          <w:szCs w:val="24"/>
          <w:lang w:val="ca-ES"/>
        </w:rPr>
        <w:t xml:space="preserve"> en la mateixa quantitat</w:t>
      </w:r>
      <w:r>
        <w:rPr>
          <w:sz w:val="24"/>
          <w:szCs w:val="24"/>
          <w:lang w:val="ca-ES"/>
        </w:rPr>
        <w:t xml:space="preserve"> independentment del sexe</w:t>
      </w:r>
      <w:r w:rsidRPr="00D444AB">
        <w:rPr>
          <w:sz w:val="24"/>
          <w:szCs w:val="24"/>
          <w:lang w:val="ca-ES"/>
        </w:rPr>
        <w:t xml:space="preserve">, al voltant dels 8.800 euros. La bretxa disminueix </w:t>
      </w:r>
      <w:r>
        <w:rPr>
          <w:sz w:val="24"/>
          <w:szCs w:val="24"/>
          <w:lang w:val="ca-ES"/>
        </w:rPr>
        <w:t xml:space="preserve">així </w:t>
      </w:r>
      <w:r w:rsidRPr="00D444AB">
        <w:rPr>
          <w:sz w:val="24"/>
          <w:szCs w:val="24"/>
          <w:lang w:val="ca-ES"/>
        </w:rPr>
        <w:t>fins a un 14,6%</w:t>
      </w:r>
      <w:r>
        <w:rPr>
          <w:sz w:val="24"/>
          <w:szCs w:val="24"/>
          <w:lang w:val="ca-ES"/>
        </w:rPr>
        <w:t>.</w:t>
      </w:r>
    </w:p>
    <w:p w:rsidR="00D444AB" w:rsidRPr="00D444AB" w:rsidRDefault="00D444AB" w:rsidP="00D444AB">
      <w:pPr>
        <w:pStyle w:val="Prrafodelista"/>
        <w:rPr>
          <w:sz w:val="24"/>
          <w:szCs w:val="24"/>
          <w:lang w:val="ca-ES"/>
        </w:rPr>
      </w:pPr>
    </w:p>
    <w:p w:rsidR="00D444AB" w:rsidRDefault="00341D95" w:rsidP="00D444AB">
      <w:pPr>
        <w:pStyle w:val="Prrafodelista"/>
        <w:numPr>
          <w:ilvl w:val="0"/>
          <w:numId w:val="5"/>
        </w:numPr>
        <w:jc w:val="both"/>
        <w:rPr>
          <w:sz w:val="24"/>
          <w:szCs w:val="24"/>
          <w:lang w:val="ca-ES"/>
        </w:rPr>
      </w:pPr>
      <w:r>
        <w:rPr>
          <w:sz w:val="24"/>
          <w:szCs w:val="24"/>
          <w:lang w:val="ca-ES"/>
        </w:rPr>
        <w:t>A l</w:t>
      </w:r>
      <w:r w:rsidR="00D444AB">
        <w:rPr>
          <w:sz w:val="24"/>
          <w:szCs w:val="24"/>
          <w:lang w:val="ca-ES"/>
        </w:rPr>
        <w:t>a segona generació</w:t>
      </w:r>
      <w:r>
        <w:rPr>
          <w:sz w:val="24"/>
          <w:szCs w:val="24"/>
          <w:lang w:val="ca-ES"/>
        </w:rPr>
        <w:t xml:space="preserve"> (35-44 anys)</w:t>
      </w:r>
      <w:r w:rsidR="00D444AB">
        <w:rPr>
          <w:sz w:val="24"/>
          <w:szCs w:val="24"/>
          <w:lang w:val="ca-ES"/>
        </w:rPr>
        <w:t xml:space="preserve">, </w:t>
      </w:r>
      <w:r>
        <w:rPr>
          <w:sz w:val="24"/>
          <w:szCs w:val="24"/>
          <w:lang w:val="ca-ES"/>
        </w:rPr>
        <w:t>etapa que coincideix amb la promoció econòmica i amb l’edat reproductiva, les dones veuen augmentat el salari en uns 4.300 euros, mentre ells ho fan en gairebé 7.500 euros. Això fa que la bretxa augment fins un 22,2%.</w:t>
      </w:r>
    </w:p>
    <w:p w:rsidR="00341D95" w:rsidRPr="00341D95" w:rsidRDefault="00341D95" w:rsidP="00341D95">
      <w:pPr>
        <w:pStyle w:val="Prrafodelista"/>
        <w:rPr>
          <w:sz w:val="24"/>
          <w:szCs w:val="24"/>
          <w:lang w:val="ca-ES"/>
        </w:rPr>
      </w:pPr>
    </w:p>
    <w:p w:rsidR="00341D95" w:rsidRPr="00D444AB" w:rsidRDefault="00341D95" w:rsidP="00D444AB">
      <w:pPr>
        <w:pStyle w:val="Prrafodelista"/>
        <w:numPr>
          <w:ilvl w:val="0"/>
          <w:numId w:val="5"/>
        </w:numPr>
        <w:jc w:val="both"/>
        <w:rPr>
          <w:sz w:val="24"/>
          <w:szCs w:val="24"/>
          <w:lang w:val="ca-ES"/>
        </w:rPr>
      </w:pPr>
      <w:r>
        <w:rPr>
          <w:sz w:val="24"/>
          <w:szCs w:val="24"/>
          <w:lang w:val="ca-ES"/>
        </w:rPr>
        <w:t>A la tercera generació (45-54 anys), el salari de les dones s’ha estancat, mentre els dels homes continua augmentant, en aquest cas en 3.240 euros. Això fa que la bretxa encara s’ampliï més, i s’alci fins un 29,9%.</w:t>
      </w:r>
    </w:p>
    <w:p w:rsidR="00804FF6" w:rsidRDefault="00804FF6" w:rsidP="0016714E">
      <w:pPr>
        <w:jc w:val="both"/>
        <w:rPr>
          <w:sz w:val="24"/>
          <w:szCs w:val="24"/>
          <w:lang w:val="ca-ES"/>
        </w:rPr>
      </w:pPr>
      <w:r>
        <w:rPr>
          <w:sz w:val="24"/>
          <w:szCs w:val="24"/>
          <w:lang w:val="ca-ES"/>
        </w:rPr>
        <w:t>Aquest comportament sembla reproduir-se amb el temps, per tant podem parlar d’un patró de comportament de la bretxa segons l’edat. Així, als següents gràfics s’observa una similar evolució de la bretxa segons les franges d’edat, per als anys 2010, 2011, 2012 i 2013.</w:t>
      </w:r>
    </w:p>
    <w:p w:rsidR="005B1599" w:rsidRDefault="005B1599" w:rsidP="0016714E">
      <w:pPr>
        <w:jc w:val="both"/>
        <w:rPr>
          <w:sz w:val="24"/>
          <w:szCs w:val="24"/>
          <w:lang w:val="ca-ES"/>
        </w:rPr>
      </w:pPr>
      <w:r>
        <w:rPr>
          <w:sz w:val="24"/>
          <w:szCs w:val="24"/>
          <w:lang w:val="ca-ES"/>
        </w:rPr>
        <w:t>Per a tots els anys s’observa una bretxa de sortida molt elevada i un augment de bretxa que arriba al seu màxim per a les persones de 45 a 54 anys.</w:t>
      </w:r>
    </w:p>
    <w:p w:rsidR="005B1599" w:rsidRDefault="005B1599" w:rsidP="0016714E">
      <w:pPr>
        <w:jc w:val="both"/>
        <w:rPr>
          <w:sz w:val="24"/>
          <w:szCs w:val="24"/>
          <w:lang w:val="ca-ES"/>
        </w:rPr>
      </w:pPr>
    </w:p>
    <w:p w:rsidR="005B1599" w:rsidRDefault="005B1599" w:rsidP="0016714E">
      <w:pPr>
        <w:jc w:val="both"/>
        <w:rPr>
          <w:sz w:val="24"/>
          <w:szCs w:val="24"/>
          <w:lang w:val="ca-ES"/>
        </w:rPr>
      </w:pPr>
    </w:p>
    <w:p w:rsidR="005324C6" w:rsidRDefault="005324C6" w:rsidP="0016714E">
      <w:pPr>
        <w:jc w:val="both"/>
        <w:rPr>
          <w:sz w:val="24"/>
          <w:szCs w:val="24"/>
          <w:lang w:val="ca-ES"/>
        </w:rPr>
      </w:pPr>
    </w:p>
    <w:p w:rsidR="00D444AB" w:rsidRPr="0016714E" w:rsidRDefault="00D444AB" w:rsidP="0016714E">
      <w:pPr>
        <w:jc w:val="both"/>
        <w:rPr>
          <w:sz w:val="24"/>
          <w:szCs w:val="24"/>
          <w:lang w:val="ca-ES"/>
        </w:rPr>
      </w:pPr>
    </w:p>
    <w:p w:rsidR="004C2968" w:rsidRDefault="004071BD" w:rsidP="004C2968">
      <w:pPr>
        <w:jc w:val="center"/>
        <w:rPr>
          <w:b/>
          <w:sz w:val="24"/>
          <w:szCs w:val="24"/>
          <w:u w:val="single"/>
          <w:lang w:val="ca-ES"/>
        </w:rPr>
      </w:pPr>
      <w:r>
        <w:rPr>
          <w:b/>
          <w:sz w:val="24"/>
          <w:szCs w:val="24"/>
          <w:u w:val="single"/>
          <w:lang w:val="ca-ES"/>
        </w:rPr>
        <w:t>Bretxa salarial mitjana</w:t>
      </w:r>
      <w:r w:rsidR="004C2968" w:rsidRPr="004C2968">
        <w:rPr>
          <w:b/>
          <w:sz w:val="24"/>
          <w:szCs w:val="24"/>
          <w:u w:val="single"/>
          <w:lang w:val="ca-ES"/>
        </w:rPr>
        <w:t xml:space="preserve"> i segons grups d’edat. </w:t>
      </w:r>
      <w:r>
        <w:rPr>
          <w:b/>
          <w:sz w:val="24"/>
          <w:szCs w:val="24"/>
          <w:u w:val="single"/>
          <w:lang w:val="ca-ES"/>
        </w:rPr>
        <w:t xml:space="preserve">Catalunya, </w:t>
      </w:r>
      <w:r w:rsidR="004C2968" w:rsidRPr="004C2968">
        <w:rPr>
          <w:b/>
          <w:sz w:val="24"/>
          <w:szCs w:val="24"/>
          <w:u w:val="single"/>
          <w:lang w:val="ca-ES"/>
        </w:rPr>
        <w:t>2010-2013</w:t>
      </w:r>
    </w:p>
    <w:p w:rsidR="004071BD" w:rsidRPr="004C2968" w:rsidRDefault="004071BD" w:rsidP="004C2968">
      <w:pPr>
        <w:jc w:val="center"/>
        <w:rPr>
          <w:b/>
          <w:sz w:val="24"/>
          <w:szCs w:val="24"/>
          <w:u w:val="single"/>
          <w:lang w:val="ca-ES"/>
        </w:rPr>
      </w:pPr>
      <w:r w:rsidRPr="004071BD">
        <w:rPr>
          <w:noProof/>
          <w:szCs w:val="24"/>
        </w:rPr>
        <w:drawing>
          <wp:inline distT="0" distB="0" distL="0" distR="0">
            <wp:extent cx="3953969" cy="7326247"/>
            <wp:effectExtent l="0" t="0" r="0" b="0"/>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961210" cy="7339664"/>
                    </a:xfrm>
                    <a:prstGeom prst="rect">
                      <a:avLst/>
                    </a:prstGeom>
                    <a:noFill/>
                    <a:ln w="9525">
                      <a:noFill/>
                      <a:miter lim="800000"/>
                      <a:headEnd/>
                      <a:tailEnd/>
                    </a:ln>
                  </pic:spPr>
                </pic:pic>
              </a:graphicData>
            </a:graphic>
          </wp:inline>
        </w:drawing>
      </w:r>
    </w:p>
    <w:p w:rsidR="004C2968" w:rsidRDefault="004C2968" w:rsidP="004C2968">
      <w:pPr>
        <w:jc w:val="center"/>
        <w:rPr>
          <w:sz w:val="20"/>
          <w:szCs w:val="20"/>
          <w:lang w:val="ca-ES"/>
        </w:rPr>
      </w:pPr>
      <w:r w:rsidRPr="004C2968">
        <w:rPr>
          <w:sz w:val="20"/>
          <w:szCs w:val="20"/>
          <w:lang w:val="ca-ES"/>
        </w:rPr>
        <w:t>Font: EAES, INE</w:t>
      </w:r>
    </w:p>
    <w:p w:rsidR="00773667" w:rsidRDefault="0070156F" w:rsidP="00773667">
      <w:pPr>
        <w:pStyle w:val="Prrafodelista"/>
        <w:numPr>
          <w:ilvl w:val="0"/>
          <w:numId w:val="4"/>
        </w:numPr>
        <w:ind w:left="284" w:hanging="284"/>
        <w:jc w:val="both"/>
        <w:rPr>
          <w:b/>
          <w:color w:val="C00000"/>
          <w:sz w:val="28"/>
          <w:szCs w:val="28"/>
          <w:u w:val="single"/>
          <w:lang w:val="ca-ES"/>
        </w:rPr>
      </w:pPr>
      <w:r>
        <w:rPr>
          <w:b/>
          <w:color w:val="C00000"/>
          <w:sz w:val="28"/>
          <w:szCs w:val="28"/>
          <w:u w:val="single"/>
          <w:lang w:val="ca-ES"/>
        </w:rPr>
        <w:t>Inserció al mercat laboral i bretxa</w:t>
      </w:r>
    </w:p>
    <w:p w:rsidR="00E42FE4" w:rsidRDefault="0070156F" w:rsidP="00D6088E">
      <w:pPr>
        <w:jc w:val="both"/>
        <w:rPr>
          <w:sz w:val="24"/>
          <w:szCs w:val="24"/>
          <w:lang w:val="ca-ES"/>
        </w:rPr>
      </w:pPr>
      <w:r>
        <w:rPr>
          <w:sz w:val="24"/>
          <w:szCs w:val="24"/>
          <w:lang w:val="ca-ES"/>
        </w:rPr>
        <w:t>Tal i com s’ha vist, els nois i noies menors de 25 anys presents al mercat laboral presenten unes diferències salarials elevades. El 2013 aquesta diferència va arribar al 25,5%.</w:t>
      </w:r>
    </w:p>
    <w:p w:rsidR="0070156F" w:rsidRPr="002D1DB2" w:rsidRDefault="0070156F" w:rsidP="00D6088E">
      <w:pPr>
        <w:jc w:val="both"/>
        <w:rPr>
          <w:b/>
          <w:sz w:val="24"/>
          <w:szCs w:val="24"/>
          <w:lang w:val="ca-ES"/>
        </w:rPr>
      </w:pPr>
      <w:r>
        <w:rPr>
          <w:sz w:val="24"/>
          <w:szCs w:val="24"/>
          <w:lang w:val="ca-ES"/>
        </w:rPr>
        <w:t xml:space="preserve">Però, com es pot explicar aquesta bretxa tan elevada? En primer lloc, el baix nivell salarial fa que la diferència en termes relatius sigui més elevada. </w:t>
      </w:r>
      <w:r w:rsidR="006A78B3">
        <w:rPr>
          <w:sz w:val="24"/>
          <w:szCs w:val="24"/>
          <w:lang w:val="ca-ES"/>
        </w:rPr>
        <w:t xml:space="preserve">De totes maneres, la diferència és alta, i es deu a que </w:t>
      </w:r>
      <w:r w:rsidR="006A78B3" w:rsidRPr="002D1DB2">
        <w:rPr>
          <w:b/>
          <w:sz w:val="24"/>
          <w:szCs w:val="24"/>
          <w:lang w:val="ca-ES"/>
        </w:rPr>
        <w:t>les dones treballen tradicionalment en sectors d’activitat i ocupacions alta</w:t>
      </w:r>
      <w:r w:rsidR="00FA2E71">
        <w:rPr>
          <w:b/>
          <w:sz w:val="24"/>
          <w:szCs w:val="24"/>
          <w:lang w:val="ca-ES"/>
        </w:rPr>
        <w:t>ment feminitzades i alhora menys</w:t>
      </w:r>
      <w:r w:rsidR="006A78B3" w:rsidRPr="002D1DB2">
        <w:rPr>
          <w:b/>
          <w:sz w:val="24"/>
          <w:szCs w:val="24"/>
          <w:lang w:val="ca-ES"/>
        </w:rPr>
        <w:t xml:space="preserve"> valorades i remunerades al mercat laboral.</w:t>
      </w:r>
    </w:p>
    <w:p w:rsidR="006A78B3" w:rsidRDefault="006A78B3" w:rsidP="00D6088E">
      <w:pPr>
        <w:jc w:val="both"/>
        <w:rPr>
          <w:sz w:val="24"/>
          <w:szCs w:val="24"/>
          <w:lang w:val="ca-ES"/>
        </w:rPr>
      </w:pPr>
      <w:r>
        <w:rPr>
          <w:sz w:val="24"/>
          <w:szCs w:val="24"/>
          <w:lang w:val="ca-ES"/>
        </w:rPr>
        <w:t xml:space="preserve">Les dones estan fortament segregades ocupacionalment. És a dir, hi ha una major concentració de dones a determinades ocupacions: Tal i com mostra el gràfic, el 70% de les dones ocupades ho estan en tan sols tres tipus d’ocupacions: </w:t>
      </w:r>
    </w:p>
    <w:p w:rsidR="006A78B3" w:rsidRPr="006A78B3" w:rsidRDefault="006A78B3" w:rsidP="006A78B3">
      <w:pPr>
        <w:pStyle w:val="Prrafodelista"/>
        <w:numPr>
          <w:ilvl w:val="0"/>
          <w:numId w:val="6"/>
        </w:numPr>
        <w:jc w:val="both"/>
        <w:rPr>
          <w:sz w:val="24"/>
          <w:szCs w:val="24"/>
          <w:lang w:val="ca-ES"/>
        </w:rPr>
      </w:pPr>
      <w:r w:rsidRPr="006A78B3">
        <w:rPr>
          <w:sz w:val="24"/>
          <w:szCs w:val="24"/>
          <w:lang w:val="ca-ES"/>
        </w:rPr>
        <w:t>Serveis de restauració, personals, protecció i venda</w:t>
      </w:r>
    </w:p>
    <w:p w:rsidR="006A78B3" w:rsidRPr="006A78B3" w:rsidRDefault="006A78B3" w:rsidP="006A78B3">
      <w:pPr>
        <w:pStyle w:val="Prrafodelista"/>
        <w:numPr>
          <w:ilvl w:val="0"/>
          <w:numId w:val="6"/>
        </w:numPr>
        <w:jc w:val="both"/>
        <w:rPr>
          <w:sz w:val="24"/>
          <w:szCs w:val="24"/>
          <w:lang w:val="ca-ES"/>
        </w:rPr>
      </w:pPr>
      <w:r w:rsidRPr="006A78B3">
        <w:rPr>
          <w:sz w:val="24"/>
          <w:szCs w:val="24"/>
          <w:lang w:val="ca-ES"/>
        </w:rPr>
        <w:t>Tècniques i professionals científiques i intel·lectuals</w:t>
      </w:r>
    </w:p>
    <w:p w:rsidR="006A78B3" w:rsidRDefault="006A78B3" w:rsidP="006A78B3">
      <w:pPr>
        <w:pStyle w:val="Prrafodelista"/>
        <w:numPr>
          <w:ilvl w:val="0"/>
          <w:numId w:val="6"/>
        </w:numPr>
        <w:jc w:val="both"/>
        <w:rPr>
          <w:sz w:val="24"/>
          <w:szCs w:val="24"/>
          <w:lang w:val="ca-ES"/>
        </w:rPr>
      </w:pPr>
      <w:r w:rsidRPr="006A78B3">
        <w:rPr>
          <w:sz w:val="24"/>
          <w:szCs w:val="24"/>
          <w:lang w:val="ca-ES"/>
        </w:rPr>
        <w:t>Empleades contables, administratives i d’oficina</w:t>
      </w:r>
    </w:p>
    <w:p w:rsidR="000A1535" w:rsidRDefault="006A78B3" w:rsidP="006A78B3">
      <w:pPr>
        <w:jc w:val="both"/>
        <w:rPr>
          <w:sz w:val="24"/>
          <w:szCs w:val="24"/>
          <w:lang w:val="ca-ES"/>
        </w:rPr>
      </w:pPr>
      <w:r w:rsidRPr="006A78B3">
        <w:rPr>
          <w:sz w:val="24"/>
          <w:szCs w:val="24"/>
          <w:lang w:val="ca-ES"/>
        </w:rPr>
        <w:t xml:space="preserve"> Els ho</w:t>
      </w:r>
      <w:r>
        <w:rPr>
          <w:sz w:val="24"/>
          <w:szCs w:val="24"/>
          <w:lang w:val="ca-ES"/>
        </w:rPr>
        <w:t>mes, tot i que també pateixen la segregació ocupacional, no estan concentrats d’una manera tan elevada.</w:t>
      </w:r>
    </w:p>
    <w:p w:rsidR="006A78B3" w:rsidRPr="00CA110B" w:rsidRDefault="00CA110B" w:rsidP="00CA110B">
      <w:pPr>
        <w:jc w:val="center"/>
        <w:rPr>
          <w:b/>
          <w:sz w:val="24"/>
          <w:szCs w:val="24"/>
          <w:u w:val="single"/>
          <w:lang w:val="ca-ES"/>
        </w:rPr>
      </w:pPr>
      <w:r w:rsidRPr="00CA110B">
        <w:rPr>
          <w:b/>
          <w:sz w:val="24"/>
          <w:szCs w:val="24"/>
          <w:u w:val="single"/>
          <w:lang w:val="ca-ES"/>
        </w:rPr>
        <w:t>Persones ocupades per tipus d’ocupació i sexe. Catalunya, 2014</w:t>
      </w:r>
    </w:p>
    <w:p w:rsidR="006A78B3" w:rsidRDefault="006A78B3" w:rsidP="006A78B3">
      <w:pPr>
        <w:jc w:val="both"/>
        <w:rPr>
          <w:sz w:val="24"/>
          <w:szCs w:val="24"/>
          <w:lang w:val="ca-ES"/>
        </w:rPr>
      </w:pPr>
      <w:r w:rsidRPr="006A78B3">
        <w:rPr>
          <w:noProof/>
          <w:szCs w:val="24"/>
        </w:rPr>
        <w:drawing>
          <wp:inline distT="0" distB="0" distL="0" distR="0">
            <wp:extent cx="5331758" cy="2663687"/>
            <wp:effectExtent l="19050" t="0" r="2242" b="0"/>
            <wp:docPr id="3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334435" cy="2665024"/>
                    </a:xfrm>
                    <a:prstGeom prst="rect">
                      <a:avLst/>
                    </a:prstGeom>
                    <a:noFill/>
                    <a:ln w="9525">
                      <a:noFill/>
                      <a:miter lim="800000"/>
                      <a:headEnd/>
                      <a:tailEnd/>
                    </a:ln>
                  </pic:spPr>
                </pic:pic>
              </a:graphicData>
            </a:graphic>
          </wp:inline>
        </w:drawing>
      </w:r>
    </w:p>
    <w:p w:rsidR="00CA110B" w:rsidRDefault="00CA110B" w:rsidP="00CA110B">
      <w:pPr>
        <w:jc w:val="center"/>
        <w:rPr>
          <w:sz w:val="20"/>
          <w:szCs w:val="20"/>
          <w:lang w:val="ca-ES"/>
        </w:rPr>
      </w:pPr>
      <w:r w:rsidRPr="00CA110B">
        <w:rPr>
          <w:sz w:val="20"/>
          <w:szCs w:val="20"/>
          <w:lang w:val="ca-ES"/>
        </w:rPr>
        <w:t>Font: Elaboració pròpia a partir de dades de l’EPA, INE</w:t>
      </w:r>
    </w:p>
    <w:p w:rsidR="005A399F" w:rsidRPr="007569FA" w:rsidRDefault="007569FA" w:rsidP="007569FA">
      <w:pPr>
        <w:rPr>
          <w:b/>
          <w:sz w:val="24"/>
          <w:szCs w:val="24"/>
          <w:u w:val="single"/>
          <w:lang w:val="ca-ES"/>
        </w:rPr>
      </w:pPr>
      <w:r w:rsidRPr="007569FA">
        <w:rPr>
          <w:b/>
          <w:sz w:val="24"/>
          <w:szCs w:val="24"/>
          <w:u w:val="single"/>
          <w:lang w:val="ca-ES"/>
        </w:rPr>
        <w:t>Salaris mitjans i grau de feminització dels sectors d’activitat econòmica, 2013 Espanya</w:t>
      </w:r>
    </w:p>
    <w:p w:rsidR="005A399F" w:rsidRDefault="005A399F" w:rsidP="00CA110B">
      <w:pPr>
        <w:jc w:val="center"/>
        <w:rPr>
          <w:sz w:val="20"/>
          <w:szCs w:val="20"/>
          <w:lang w:val="ca-ES"/>
        </w:rPr>
      </w:pPr>
      <w:r w:rsidRPr="005A399F">
        <w:rPr>
          <w:noProof/>
          <w:szCs w:val="20"/>
        </w:rPr>
        <w:drawing>
          <wp:inline distT="0" distB="0" distL="0" distR="0">
            <wp:extent cx="4723130" cy="5971540"/>
            <wp:effectExtent l="19050" t="0" r="1270" b="0"/>
            <wp:docPr id="3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4723130" cy="5971540"/>
                    </a:xfrm>
                    <a:prstGeom prst="rect">
                      <a:avLst/>
                    </a:prstGeom>
                    <a:noFill/>
                    <a:ln w="9525">
                      <a:noFill/>
                      <a:miter lim="800000"/>
                      <a:headEnd/>
                      <a:tailEnd/>
                    </a:ln>
                  </pic:spPr>
                </pic:pic>
              </a:graphicData>
            </a:graphic>
          </wp:inline>
        </w:drawing>
      </w:r>
    </w:p>
    <w:p w:rsidR="007569FA" w:rsidRPr="00CA110B" w:rsidRDefault="007569FA" w:rsidP="00CA110B">
      <w:pPr>
        <w:jc w:val="center"/>
        <w:rPr>
          <w:sz w:val="20"/>
          <w:szCs w:val="20"/>
          <w:lang w:val="ca-ES"/>
        </w:rPr>
      </w:pPr>
      <w:r>
        <w:rPr>
          <w:sz w:val="20"/>
          <w:szCs w:val="20"/>
          <w:lang w:val="ca-ES"/>
        </w:rPr>
        <w:t>Font: Elaboració pròpia a partir de dades de l’EAES i EPA, INE</w:t>
      </w:r>
    </w:p>
    <w:p w:rsidR="00FD5B7B" w:rsidRDefault="007569FA" w:rsidP="007569FA">
      <w:pPr>
        <w:jc w:val="both"/>
        <w:rPr>
          <w:sz w:val="24"/>
          <w:szCs w:val="24"/>
          <w:lang w:val="ca-ES"/>
        </w:rPr>
      </w:pPr>
      <w:r>
        <w:rPr>
          <w:sz w:val="24"/>
          <w:szCs w:val="24"/>
          <w:lang w:val="ca-ES"/>
        </w:rPr>
        <w:t>La taula anterior mostra quins són els sectors econòmics que estan millor remunerats i quina és la proporció de dones que hi treballa. Veiem que als sectors més ben remunerats hi ha una menor presència de dones. En canvi, els sectors fortament feminitzats (% de dones sobre el total de persones assalariades al sector), tenen en general uns sous inferiors: serveis, comerç o hostaleria són els exemples més clars.</w:t>
      </w:r>
    </w:p>
    <w:p w:rsidR="007569FA" w:rsidRDefault="007D19A2" w:rsidP="007569FA">
      <w:pPr>
        <w:jc w:val="both"/>
        <w:rPr>
          <w:sz w:val="24"/>
          <w:szCs w:val="24"/>
          <w:lang w:val="ca-ES"/>
        </w:rPr>
      </w:pPr>
      <w:r>
        <w:rPr>
          <w:sz w:val="24"/>
          <w:szCs w:val="24"/>
          <w:lang w:val="ca-ES"/>
        </w:rPr>
        <w:t>E</w:t>
      </w:r>
      <w:r w:rsidR="007569FA">
        <w:rPr>
          <w:sz w:val="24"/>
          <w:szCs w:val="24"/>
          <w:lang w:val="ca-ES"/>
        </w:rPr>
        <w:t xml:space="preserve">l </w:t>
      </w:r>
      <w:r>
        <w:rPr>
          <w:sz w:val="24"/>
          <w:szCs w:val="24"/>
          <w:lang w:val="ca-ES"/>
        </w:rPr>
        <w:t>gràfic</w:t>
      </w:r>
      <w:r w:rsidR="007569FA">
        <w:rPr>
          <w:sz w:val="24"/>
          <w:szCs w:val="24"/>
          <w:lang w:val="ca-ES"/>
        </w:rPr>
        <w:t xml:space="preserve"> següent </w:t>
      </w:r>
      <w:r>
        <w:rPr>
          <w:sz w:val="24"/>
          <w:szCs w:val="24"/>
          <w:lang w:val="ca-ES"/>
        </w:rPr>
        <w:t>mostra</w:t>
      </w:r>
      <w:r w:rsidR="007569FA">
        <w:rPr>
          <w:sz w:val="24"/>
          <w:szCs w:val="24"/>
          <w:lang w:val="ca-ES"/>
        </w:rPr>
        <w:t xml:space="preserve"> la mateixa informació representada en dos eixos, de manera que els punts </w:t>
      </w:r>
      <w:r>
        <w:rPr>
          <w:sz w:val="24"/>
          <w:szCs w:val="24"/>
          <w:lang w:val="ca-ES"/>
        </w:rPr>
        <w:t xml:space="preserve">interiors </w:t>
      </w:r>
      <w:r w:rsidR="007569FA">
        <w:rPr>
          <w:sz w:val="24"/>
          <w:szCs w:val="24"/>
          <w:lang w:val="ca-ES"/>
        </w:rPr>
        <w:t xml:space="preserve">representen a cada sector. S’observa que el núvol de punts fa una forma descendent, és a dir, que es pot afirmar que </w:t>
      </w:r>
      <w:r w:rsidR="00D44B76">
        <w:rPr>
          <w:sz w:val="24"/>
          <w:szCs w:val="24"/>
          <w:lang w:val="ca-ES"/>
        </w:rPr>
        <w:t>de manera tendencial</w:t>
      </w:r>
      <w:r w:rsidR="007569FA">
        <w:rPr>
          <w:sz w:val="24"/>
          <w:szCs w:val="24"/>
          <w:lang w:val="ca-ES"/>
        </w:rPr>
        <w:t>, a major taxa de feminització (eix vertical), menor salari mitjà del sector (eix horitzontal).</w:t>
      </w:r>
    </w:p>
    <w:p w:rsidR="007569FA" w:rsidRPr="007569FA" w:rsidRDefault="007569FA" w:rsidP="007569FA">
      <w:pPr>
        <w:jc w:val="center"/>
        <w:rPr>
          <w:b/>
          <w:sz w:val="24"/>
          <w:szCs w:val="24"/>
          <w:u w:val="single"/>
          <w:lang w:val="ca-ES"/>
        </w:rPr>
      </w:pPr>
      <w:r w:rsidRPr="007569FA">
        <w:rPr>
          <w:b/>
          <w:sz w:val="24"/>
          <w:szCs w:val="24"/>
          <w:u w:val="single"/>
          <w:lang w:val="ca-ES"/>
        </w:rPr>
        <w:t>Relació entre la taxa de feminització i salaris dels sectors. 2013, Espanya</w:t>
      </w:r>
    </w:p>
    <w:p w:rsidR="0014668F" w:rsidRDefault="0014668F" w:rsidP="00035611">
      <w:pPr>
        <w:pStyle w:val="Prrafodelista"/>
        <w:jc w:val="both"/>
        <w:rPr>
          <w:sz w:val="24"/>
          <w:szCs w:val="24"/>
          <w:lang w:val="ca-ES"/>
        </w:rPr>
      </w:pPr>
      <w:r>
        <w:rPr>
          <w:noProof/>
          <w:sz w:val="24"/>
          <w:szCs w:val="24"/>
        </w:rPr>
        <w:drawing>
          <wp:inline distT="0" distB="0" distL="0" distR="0">
            <wp:extent cx="3882780" cy="3923922"/>
            <wp:effectExtent l="19050" t="0" r="3420" b="0"/>
            <wp:docPr id="1" name="Imagen 1" descr="C:\Users\PCASTELLA\AppData\Local\Microsoft\Windows\Temporary Internet Files\Content.Outlook\NBYCZHYU\graf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STELLA\AppData\Local\Microsoft\Windows\Temporary Internet Files\Content.Outlook\NBYCZHYU\grafica2.jpg"/>
                    <pic:cNvPicPr>
                      <a:picLocks noChangeAspect="1" noChangeArrowheads="1"/>
                    </pic:cNvPicPr>
                  </pic:nvPicPr>
                  <pic:blipFill>
                    <a:blip r:embed="rId16"/>
                    <a:srcRect/>
                    <a:stretch>
                      <a:fillRect/>
                    </a:stretch>
                  </pic:blipFill>
                  <pic:spPr bwMode="auto">
                    <a:xfrm>
                      <a:off x="0" y="0"/>
                      <a:ext cx="3882865" cy="3924008"/>
                    </a:xfrm>
                    <a:prstGeom prst="rect">
                      <a:avLst/>
                    </a:prstGeom>
                    <a:noFill/>
                    <a:ln w="9525">
                      <a:noFill/>
                      <a:miter lim="800000"/>
                      <a:headEnd/>
                      <a:tailEnd/>
                    </a:ln>
                  </pic:spPr>
                </pic:pic>
              </a:graphicData>
            </a:graphic>
          </wp:inline>
        </w:drawing>
      </w:r>
    </w:p>
    <w:p w:rsidR="007569FA" w:rsidRPr="007569FA" w:rsidRDefault="007569FA" w:rsidP="007569FA">
      <w:pPr>
        <w:pStyle w:val="Prrafodelista"/>
        <w:jc w:val="center"/>
        <w:rPr>
          <w:sz w:val="20"/>
          <w:szCs w:val="20"/>
          <w:lang w:val="ca-ES"/>
        </w:rPr>
      </w:pPr>
      <w:r w:rsidRPr="007569FA">
        <w:rPr>
          <w:sz w:val="20"/>
          <w:szCs w:val="20"/>
          <w:lang w:val="ca-ES"/>
        </w:rPr>
        <w:t>Font: Elaboració pròpia a partir de dades de l’EAES i EPA, INE</w:t>
      </w:r>
    </w:p>
    <w:p w:rsidR="001647B3" w:rsidRDefault="001647B3"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2D1DB2" w:rsidP="00035611">
      <w:pPr>
        <w:pStyle w:val="Prrafodelista"/>
        <w:jc w:val="both"/>
        <w:rPr>
          <w:sz w:val="24"/>
          <w:szCs w:val="24"/>
          <w:u w:val="single"/>
          <w:lang w:val="ca-ES"/>
        </w:rPr>
      </w:pPr>
    </w:p>
    <w:p w:rsidR="002D1DB2" w:rsidRDefault="00685A2A" w:rsidP="002D1DB2">
      <w:pPr>
        <w:pStyle w:val="Prrafodelista"/>
        <w:numPr>
          <w:ilvl w:val="0"/>
          <w:numId w:val="4"/>
        </w:numPr>
        <w:ind w:left="284" w:hanging="284"/>
        <w:jc w:val="both"/>
        <w:rPr>
          <w:b/>
          <w:color w:val="C00000"/>
          <w:sz w:val="28"/>
          <w:szCs w:val="28"/>
          <w:u w:val="single"/>
          <w:lang w:val="ca-ES"/>
        </w:rPr>
      </w:pPr>
      <w:r>
        <w:rPr>
          <w:b/>
          <w:color w:val="C00000"/>
          <w:sz w:val="28"/>
          <w:szCs w:val="28"/>
          <w:u w:val="single"/>
          <w:lang w:val="ca-ES"/>
        </w:rPr>
        <w:t>Edat reproductiva, conciliació i bretxa</w:t>
      </w:r>
    </w:p>
    <w:p w:rsidR="00171FE5" w:rsidRDefault="00171FE5" w:rsidP="00171FE5">
      <w:pPr>
        <w:jc w:val="both"/>
        <w:rPr>
          <w:sz w:val="24"/>
          <w:szCs w:val="24"/>
          <w:lang w:val="ca-ES"/>
        </w:rPr>
      </w:pPr>
      <w:r>
        <w:rPr>
          <w:sz w:val="24"/>
          <w:szCs w:val="24"/>
          <w:lang w:val="ca-ES"/>
        </w:rPr>
        <w:t>Tal i com s’ha vist en apartats anteriors, la bretxa salarial augmenta especialment a partir dels 35 anys i en endavant.</w:t>
      </w:r>
    </w:p>
    <w:p w:rsidR="00171FE5" w:rsidRPr="00171FE5" w:rsidRDefault="00171FE5" w:rsidP="00171FE5">
      <w:pPr>
        <w:jc w:val="both"/>
        <w:rPr>
          <w:sz w:val="24"/>
          <w:szCs w:val="24"/>
          <w:lang w:val="ca-ES"/>
        </w:rPr>
      </w:pPr>
      <w:r>
        <w:rPr>
          <w:sz w:val="24"/>
          <w:szCs w:val="24"/>
          <w:lang w:val="ca-ES"/>
        </w:rPr>
        <w:t>L’inici de l’edat reproductiva i les necessitats de conciliació, que segons els rols de gènere imposats socialment estan associats a les dones, fa que moltes dones estiguin parcialment ocupades al mercat laboral remunerat o bé desapareguin del mateix durant els anys amb necessitats de conciliar.</w:t>
      </w:r>
    </w:p>
    <w:p w:rsidR="00171FE5" w:rsidRPr="00171FE5" w:rsidRDefault="00171FE5" w:rsidP="00171FE5">
      <w:pPr>
        <w:jc w:val="center"/>
        <w:rPr>
          <w:b/>
          <w:sz w:val="24"/>
          <w:szCs w:val="24"/>
          <w:u w:val="single"/>
          <w:lang w:val="ca-ES"/>
        </w:rPr>
      </w:pPr>
      <w:r w:rsidRPr="00171FE5">
        <w:rPr>
          <w:b/>
          <w:sz w:val="24"/>
          <w:szCs w:val="24"/>
          <w:u w:val="single"/>
          <w:lang w:val="ca-ES"/>
        </w:rPr>
        <w:t>Persones de 25 a 49 anys inactives, raons per no buscar treball</w:t>
      </w:r>
      <w:r>
        <w:rPr>
          <w:b/>
          <w:sz w:val="24"/>
          <w:szCs w:val="24"/>
          <w:u w:val="single"/>
          <w:lang w:val="ca-ES"/>
        </w:rPr>
        <w:t>,</w:t>
      </w:r>
      <w:r w:rsidR="005324C6">
        <w:rPr>
          <w:b/>
          <w:sz w:val="24"/>
          <w:szCs w:val="24"/>
          <w:u w:val="single"/>
          <w:lang w:val="ca-ES"/>
        </w:rPr>
        <w:t xml:space="preserve"> Espanya</w:t>
      </w:r>
      <w:r>
        <w:rPr>
          <w:b/>
          <w:sz w:val="24"/>
          <w:szCs w:val="24"/>
          <w:u w:val="single"/>
          <w:lang w:val="ca-ES"/>
        </w:rPr>
        <w:t xml:space="preserve"> 2014</w:t>
      </w:r>
    </w:p>
    <w:p w:rsidR="002D1DB2" w:rsidRDefault="00171FE5" w:rsidP="00171FE5">
      <w:pPr>
        <w:pStyle w:val="Prrafodelista"/>
        <w:ind w:left="0"/>
        <w:jc w:val="center"/>
        <w:rPr>
          <w:sz w:val="24"/>
          <w:szCs w:val="24"/>
          <w:u w:val="single"/>
          <w:lang w:val="ca-ES"/>
        </w:rPr>
      </w:pPr>
      <w:r w:rsidRPr="00171FE5">
        <w:rPr>
          <w:noProof/>
          <w:szCs w:val="24"/>
        </w:rPr>
        <w:drawing>
          <wp:inline distT="0" distB="0" distL="0" distR="0">
            <wp:extent cx="3077155" cy="5263765"/>
            <wp:effectExtent l="0" t="0" r="0" b="0"/>
            <wp:docPr id="3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3081682" cy="5271510"/>
                    </a:xfrm>
                    <a:prstGeom prst="rect">
                      <a:avLst/>
                    </a:prstGeom>
                    <a:noFill/>
                    <a:ln w="9525">
                      <a:noFill/>
                      <a:miter lim="800000"/>
                      <a:headEnd/>
                      <a:tailEnd/>
                    </a:ln>
                  </pic:spPr>
                </pic:pic>
              </a:graphicData>
            </a:graphic>
          </wp:inline>
        </w:drawing>
      </w:r>
    </w:p>
    <w:p w:rsidR="00171FE5" w:rsidRDefault="00171FE5" w:rsidP="00171FE5">
      <w:pPr>
        <w:pStyle w:val="Prrafodelista"/>
        <w:ind w:left="0"/>
        <w:jc w:val="center"/>
        <w:rPr>
          <w:sz w:val="20"/>
          <w:szCs w:val="20"/>
          <w:lang w:val="ca-ES"/>
        </w:rPr>
      </w:pPr>
      <w:r w:rsidRPr="00171FE5">
        <w:rPr>
          <w:sz w:val="20"/>
          <w:szCs w:val="20"/>
          <w:lang w:val="ca-ES"/>
        </w:rPr>
        <w:t>Font: INE</w:t>
      </w:r>
    </w:p>
    <w:p w:rsidR="00171FE5" w:rsidRPr="00171FE5" w:rsidRDefault="00171FE5" w:rsidP="00171FE5">
      <w:pPr>
        <w:pStyle w:val="Prrafodelista"/>
        <w:ind w:left="0"/>
        <w:jc w:val="center"/>
        <w:rPr>
          <w:sz w:val="20"/>
          <w:szCs w:val="20"/>
          <w:lang w:val="ca-ES"/>
        </w:rPr>
      </w:pPr>
    </w:p>
    <w:p w:rsidR="00171FE5" w:rsidRPr="00171FE5" w:rsidRDefault="00171FE5" w:rsidP="005324C6">
      <w:pPr>
        <w:pStyle w:val="Prrafodelista"/>
        <w:ind w:left="0"/>
        <w:jc w:val="both"/>
        <w:rPr>
          <w:sz w:val="24"/>
          <w:szCs w:val="24"/>
          <w:lang w:val="ca-ES"/>
        </w:rPr>
      </w:pPr>
      <w:r w:rsidRPr="00171FE5">
        <w:rPr>
          <w:sz w:val="24"/>
          <w:szCs w:val="24"/>
          <w:lang w:val="ca-ES"/>
        </w:rPr>
        <w:t>Sego</w:t>
      </w:r>
      <w:r>
        <w:rPr>
          <w:sz w:val="24"/>
          <w:szCs w:val="24"/>
          <w:lang w:val="ca-ES"/>
        </w:rPr>
        <w:t xml:space="preserve">ns les dades, </w:t>
      </w:r>
      <w:r w:rsidRPr="000F2FFE">
        <w:rPr>
          <w:b/>
          <w:sz w:val="24"/>
          <w:szCs w:val="24"/>
          <w:lang w:val="ca-ES"/>
        </w:rPr>
        <w:t>la primera causa d’inactivitat de les dones</w:t>
      </w:r>
      <w:r>
        <w:rPr>
          <w:sz w:val="24"/>
          <w:szCs w:val="24"/>
          <w:lang w:val="ca-ES"/>
        </w:rPr>
        <w:t xml:space="preserve"> de 25 a 49 anys és tenir </w:t>
      </w:r>
      <w:r w:rsidRPr="000F2FFE">
        <w:rPr>
          <w:b/>
          <w:sz w:val="24"/>
          <w:szCs w:val="24"/>
          <w:lang w:val="ca-ES"/>
        </w:rPr>
        <w:t>responsabilitats familiars</w:t>
      </w:r>
      <w:r>
        <w:rPr>
          <w:sz w:val="24"/>
          <w:szCs w:val="24"/>
          <w:lang w:val="ca-ES"/>
        </w:rPr>
        <w:t xml:space="preserve"> (un 27,5% dels casos). El mateix percentatge baixa a un 5,6% en el cas dels homes. En el seu cas, el primer motiu d’inactivitat és estar malalt o incapacitat.</w:t>
      </w:r>
    </w:p>
    <w:p w:rsidR="00171FE5" w:rsidRDefault="00171FE5" w:rsidP="005324C6">
      <w:pPr>
        <w:pStyle w:val="Prrafodelista"/>
        <w:ind w:left="0"/>
        <w:jc w:val="both"/>
        <w:rPr>
          <w:sz w:val="24"/>
          <w:szCs w:val="24"/>
          <w:u w:val="single"/>
          <w:lang w:val="ca-ES"/>
        </w:rPr>
      </w:pPr>
    </w:p>
    <w:p w:rsidR="00171FE5" w:rsidRDefault="00760022" w:rsidP="005324C6">
      <w:pPr>
        <w:pStyle w:val="Prrafodelista"/>
        <w:ind w:left="0"/>
        <w:jc w:val="both"/>
        <w:rPr>
          <w:sz w:val="24"/>
          <w:szCs w:val="24"/>
          <w:lang w:val="ca-ES"/>
        </w:rPr>
      </w:pPr>
      <w:r w:rsidRPr="00760022">
        <w:rPr>
          <w:b/>
          <w:sz w:val="24"/>
          <w:szCs w:val="24"/>
          <w:lang w:val="ca-ES"/>
        </w:rPr>
        <w:t>Per tant, tenir família és una clara causa d’abandonament del mercat laboral entre les dones.</w:t>
      </w:r>
      <w:r>
        <w:rPr>
          <w:sz w:val="24"/>
          <w:szCs w:val="24"/>
          <w:lang w:val="ca-ES"/>
        </w:rPr>
        <w:t xml:space="preserve"> Les taxes d’ocupació d’homes i dones sense fills es situa en un 74,4% per a ells i un 66,9% per a elles. En canvi, quan tenen fills, aquesta augmenta fins un 78,9% pels homes i baixa fins a un 59,5% per les dones.</w:t>
      </w:r>
    </w:p>
    <w:p w:rsidR="00760022" w:rsidRDefault="00760022" w:rsidP="005324C6">
      <w:pPr>
        <w:pStyle w:val="Prrafodelista"/>
        <w:ind w:left="0"/>
        <w:jc w:val="both"/>
        <w:rPr>
          <w:sz w:val="24"/>
          <w:szCs w:val="24"/>
          <w:lang w:val="ca-ES"/>
        </w:rPr>
      </w:pPr>
    </w:p>
    <w:p w:rsidR="00760022" w:rsidRPr="00760022" w:rsidRDefault="00760022" w:rsidP="005324C6">
      <w:pPr>
        <w:pStyle w:val="Prrafodelista"/>
        <w:ind w:left="0"/>
        <w:jc w:val="both"/>
        <w:rPr>
          <w:sz w:val="24"/>
          <w:szCs w:val="24"/>
          <w:lang w:val="ca-ES"/>
        </w:rPr>
      </w:pPr>
      <w:r w:rsidRPr="00760022">
        <w:rPr>
          <w:sz w:val="24"/>
          <w:szCs w:val="24"/>
          <w:lang w:val="ca-ES"/>
        </w:rPr>
        <w:t xml:space="preserve">Per tant, tenir fills és </w:t>
      </w:r>
      <w:r w:rsidR="00F46852">
        <w:rPr>
          <w:sz w:val="24"/>
          <w:szCs w:val="24"/>
          <w:lang w:val="ca-ES"/>
        </w:rPr>
        <w:t>factor</w:t>
      </w:r>
      <w:r w:rsidRPr="00760022">
        <w:rPr>
          <w:sz w:val="24"/>
          <w:szCs w:val="24"/>
          <w:lang w:val="ca-ES"/>
        </w:rPr>
        <w:t xml:space="preserve"> d’inserció laboral per a ells i d’abandonament per a elles.</w:t>
      </w:r>
    </w:p>
    <w:p w:rsidR="00760022" w:rsidRPr="00760022" w:rsidRDefault="00760022" w:rsidP="00035611">
      <w:pPr>
        <w:pStyle w:val="Prrafodelista"/>
        <w:jc w:val="both"/>
        <w:rPr>
          <w:sz w:val="24"/>
          <w:szCs w:val="24"/>
          <w:lang w:val="ca-ES"/>
        </w:rPr>
      </w:pPr>
    </w:p>
    <w:p w:rsidR="00760022" w:rsidRDefault="00760022" w:rsidP="00760022">
      <w:pPr>
        <w:pStyle w:val="Prrafodelista"/>
        <w:jc w:val="center"/>
        <w:rPr>
          <w:b/>
          <w:sz w:val="24"/>
          <w:szCs w:val="24"/>
          <w:u w:val="single"/>
          <w:lang w:val="ca-ES"/>
        </w:rPr>
      </w:pPr>
      <w:r w:rsidRPr="00760022">
        <w:rPr>
          <w:b/>
          <w:sz w:val="24"/>
          <w:szCs w:val="24"/>
          <w:u w:val="single"/>
          <w:lang w:val="ca-ES"/>
        </w:rPr>
        <w:t>Taxes d’ocupació amb/sense fills, 25 a 49 anys, Espanya 2014</w:t>
      </w:r>
    </w:p>
    <w:p w:rsidR="002E1668" w:rsidRPr="00760022" w:rsidRDefault="002E1668" w:rsidP="00760022">
      <w:pPr>
        <w:pStyle w:val="Prrafodelista"/>
        <w:jc w:val="center"/>
        <w:rPr>
          <w:b/>
          <w:sz w:val="24"/>
          <w:szCs w:val="24"/>
          <w:u w:val="single"/>
          <w:lang w:val="ca-ES"/>
        </w:rPr>
      </w:pPr>
      <w:r w:rsidRPr="002E1668">
        <w:rPr>
          <w:noProof/>
          <w:szCs w:val="24"/>
        </w:rPr>
        <w:drawing>
          <wp:inline distT="0" distB="0" distL="0" distR="0">
            <wp:extent cx="3653180" cy="2198977"/>
            <wp:effectExtent l="19050" t="0" r="4420" b="0"/>
            <wp:docPr id="44"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3653549" cy="2199199"/>
                    </a:xfrm>
                    <a:prstGeom prst="rect">
                      <a:avLst/>
                    </a:prstGeom>
                    <a:noFill/>
                    <a:ln w="9525">
                      <a:noFill/>
                      <a:miter lim="800000"/>
                      <a:headEnd/>
                      <a:tailEnd/>
                    </a:ln>
                  </pic:spPr>
                </pic:pic>
              </a:graphicData>
            </a:graphic>
          </wp:inline>
        </w:drawing>
      </w:r>
    </w:p>
    <w:p w:rsidR="00760022" w:rsidRPr="00760022" w:rsidRDefault="00760022" w:rsidP="00760022">
      <w:pPr>
        <w:pStyle w:val="Prrafodelista"/>
        <w:jc w:val="center"/>
        <w:rPr>
          <w:sz w:val="20"/>
          <w:szCs w:val="20"/>
          <w:lang w:val="ca-ES"/>
        </w:rPr>
      </w:pPr>
      <w:r w:rsidRPr="00760022">
        <w:rPr>
          <w:sz w:val="20"/>
          <w:szCs w:val="20"/>
          <w:lang w:val="ca-ES"/>
        </w:rPr>
        <w:t>Font: EPA, INE</w:t>
      </w:r>
    </w:p>
    <w:p w:rsidR="00957C8A" w:rsidRDefault="00957C8A" w:rsidP="00035611">
      <w:pPr>
        <w:pStyle w:val="Prrafodelista"/>
        <w:jc w:val="both"/>
        <w:rPr>
          <w:sz w:val="24"/>
          <w:szCs w:val="24"/>
          <w:lang w:val="ca-ES"/>
        </w:rPr>
      </w:pPr>
      <w:r w:rsidRPr="00957C8A">
        <w:rPr>
          <w:sz w:val="24"/>
          <w:szCs w:val="24"/>
          <w:lang w:val="ca-ES"/>
        </w:rPr>
        <w:tab/>
      </w:r>
      <w:r w:rsidRPr="00957C8A">
        <w:rPr>
          <w:sz w:val="24"/>
          <w:szCs w:val="24"/>
          <w:lang w:val="ca-ES"/>
        </w:rPr>
        <w:tab/>
      </w:r>
      <w:r w:rsidRPr="00957C8A">
        <w:rPr>
          <w:sz w:val="24"/>
          <w:szCs w:val="24"/>
          <w:lang w:val="ca-ES"/>
        </w:rPr>
        <w:tab/>
      </w:r>
      <w:r w:rsidRPr="00957C8A">
        <w:rPr>
          <w:sz w:val="24"/>
          <w:szCs w:val="24"/>
          <w:lang w:val="ca-ES"/>
        </w:rPr>
        <w:tab/>
      </w:r>
      <w:r w:rsidRPr="00957C8A">
        <w:rPr>
          <w:sz w:val="24"/>
          <w:szCs w:val="24"/>
          <w:lang w:val="ca-ES"/>
        </w:rPr>
        <w:tab/>
      </w:r>
      <w:r w:rsidRPr="00957C8A">
        <w:rPr>
          <w:sz w:val="24"/>
          <w:szCs w:val="24"/>
          <w:lang w:val="ca-ES"/>
        </w:rPr>
        <w:tab/>
      </w:r>
    </w:p>
    <w:p w:rsidR="00957C8A" w:rsidRDefault="000F2FFE" w:rsidP="00035611">
      <w:pPr>
        <w:jc w:val="both"/>
        <w:rPr>
          <w:sz w:val="24"/>
          <w:szCs w:val="24"/>
          <w:lang w:val="ca-ES"/>
        </w:rPr>
      </w:pPr>
      <w:r>
        <w:rPr>
          <w:sz w:val="24"/>
          <w:szCs w:val="24"/>
          <w:lang w:val="ca-ES"/>
        </w:rPr>
        <w:t>Encara que les dones no abandonin completament el mercat laboral, aquestes hi dediquen menys hores que els homes. Estan “menys presents i menys disponibles” al mercat laboral remunerat.</w:t>
      </w:r>
    </w:p>
    <w:p w:rsidR="000F2FFE" w:rsidRDefault="000F2FFE" w:rsidP="00035611">
      <w:pPr>
        <w:jc w:val="both"/>
        <w:rPr>
          <w:sz w:val="24"/>
          <w:szCs w:val="24"/>
          <w:lang w:val="ca-ES"/>
        </w:rPr>
      </w:pPr>
      <w:r>
        <w:rPr>
          <w:sz w:val="24"/>
          <w:szCs w:val="24"/>
          <w:lang w:val="ca-ES"/>
        </w:rPr>
        <w:t>Segons les dades i tal i com  mostra el següent gràfic, les dones dediquen 6,9 hores de mitjana al treball remunerat front les 8,3 hores dels homes, mentre hi dediquen 3,8 hores diàries a la llar i família front les 2,4 hores dels homes.</w:t>
      </w:r>
    </w:p>
    <w:p w:rsidR="000F2FFE" w:rsidRDefault="000F2FFE" w:rsidP="00035611">
      <w:pPr>
        <w:jc w:val="both"/>
        <w:rPr>
          <w:sz w:val="24"/>
          <w:szCs w:val="24"/>
          <w:lang w:val="ca-ES"/>
        </w:rPr>
      </w:pPr>
    </w:p>
    <w:p w:rsidR="005324C6" w:rsidRPr="00957C8A" w:rsidRDefault="005324C6" w:rsidP="00035611">
      <w:pPr>
        <w:jc w:val="both"/>
        <w:rPr>
          <w:sz w:val="24"/>
          <w:szCs w:val="24"/>
          <w:lang w:val="ca-ES"/>
        </w:rPr>
      </w:pPr>
    </w:p>
    <w:p w:rsidR="0014668F" w:rsidRDefault="0014668F" w:rsidP="00035611">
      <w:pPr>
        <w:pStyle w:val="Prrafodelista"/>
        <w:jc w:val="both"/>
        <w:rPr>
          <w:sz w:val="24"/>
          <w:szCs w:val="24"/>
          <w:lang w:val="ca-ES"/>
        </w:rPr>
      </w:pPr>
    </w:p>
    <w:p w:rsidR="0014668F" w:rsidRDefault="0014668F" w:rsidP="00035611">
      <w:pPr>
        <w:pStyle w:val="Prrafodelista"/>
        <w:jc w:val="both"/>
        <w:rPr>
          <w:b/>
          <w:u w:val="single"/>
          <w:lang w:val="ca-ES"/>
        </w:rPr>
      </w:pPr>
      <w:r w:rsidRPr="0014668F">
        <w:rPr>
          <w:b/>
          <w:u w:val="single"/>
          <w:lang w:val="ca-ES"/>
        </w:rPr>
        <w:t>Duració mitjana de les activitats diàries. Homes i dones. Espanya 2009</w:t>
      </w:r>
    </w:p>
    <w:p w:rsidR="000F2FFE" w:rsidRPr="0014668F" w:rsidRDefault="000F2FFE" w:rsidP="000F2FFE">
      <w:pPr>
        <w:pStyle w:val="Prrafodelista"/>
        <w:ind w:left="0"/>
        <w:jc w:val="center"/>
        <w:rPr>
          <w:b/>
          <w:u w:val="single"/>
          <w:lang w:val="ca-ES"/>
        </w:rPr>
      </w:pPr>
      <w:r w:rsidRPr="000F2FFE">
        <w:rPr>
          <w:noProof/>
        </w:rPr>
        <w:drawing>
          <wp:inline distT="0" distB="0" distL="0" distR="0">
            <wp:extent cx="4950460" cy="2552100"/>
            <wp:effectExtent l="19050" t="0" r="2540" b="0"/>
            <wp:docPr id="3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srcRect/>
                    <a:stretch>
                      <a:fillRect/>
                    </a:stretch>
                  </pic:blipFill>
                  <pic:spPr bwMode="auto">
                    <a:xfrm>
                      <a:off x="0" y="0"/>
                      <a:ext cx="4950460" cy="2552100"/>
                    </a:xfrm>
                    <a:prstGeom prst="rect">
                      <a:avLst/>
                    </a:prstGeom>
                    <a:noFill/>
                    <a:ln w="9525">
                      <a:noFill/>
                      <a:miter lim="800000"/>
                      <a:headEnd/>
                      <a:tailEnd/>
                    </a:ln>
                  </pic:spPr>
                </pic:pic>
              </a:graphicData>
            </a:graphic>
          </wp:inline>
        </w:drawing>
      </w:r>
    </w:p>
    <w:p w:rsidR="0014668F" w:rsidRPr="000F2FFE" w:rsidRDefault="000F2FFE" w:rsidP="00693BBF">
      <w:pPr>
        <w:jc w:val="center"/>
        <w:rPr>
          <w:sz w:val="20"/>
          <w:szCs w:val="20"/>
          <w:lang w:val="ca-ES"/>
        </w:rPr>
      </w:pPr>
      <w:r w:rsidRPr="000F2FFE">
        <w:rPr>
          <w:sz w:val="20"/>
          <w:szCs w:val="20"/>
          <w:lang w:val="ca-ES"/>
        </w:rPr>
        <w:t>Font: Encuesta del Empleo del Tiempo, INE</w:t>
      </w:r>
    </w:p>
    <w:p w:rsidR="00D94BB7" w:rsidRPr="001647B3" w:rsidRDefault="00693BBF" w:rsidP="00693BBF">
      <w:pPr>
        <w:pStyle w:val="Prrafodelista"/>
        <w:ind w:left="0"/>
        <w:jc w:val="both"/>
        <w:rPr>
          <w:sz w:val="24"/>
          <w:szCs w:val="24"/>
          <w:lang w:val="ca-ES"/>
        </w:rPr>
      </w:pPr>
      <w:r>
        <w:rPr>
          <w:sz w:val="24"/>
          <w:szCs w:val="24"/>
          <w:lang w:val="ca-ES"/>
        </w:rPr>
        <w:t>D’altra banda, segons dades de l’EPA, un 22,5% de les dones enquestades va reduir el número d’hores treballades per a la cura de fills. Entre els homes, la xifra va ser d’un escàs 3,3%. Les dades també mostren que és a partir de l’edat reproductiva, quan les dones decideixen reduir el temps de treball remunerat.</w:t>
      </w:r>
    </w:p>
    <w:p w:rsidR="00132250" w:rsidRDefault="00132250" w:rsidP="00693BBF">
      <w:pPr>
        <w:jc w:val="center"/>
        <w:rPr>
          <w:b/>
          <w:u w:val="single"/>
          <w:lang w:val="ca-ES"/>
        </w:rPr>
      </w:pPr>
      <w:r>
        <w:rPr>
          <w:b/>
          <w:u w:val="single"/>
          <w:lang w:val="ca-ES"/>
        </w:rPr>
        <w:t>Persone</w:t>
      </w:r>
      <w:r w:rsidRPr="00132250">
        <w:rPr>
          <w:b/>
          <w:u w:val="single"/>
          <w:lang w:val="ca-ES"/>
        </w:rPr>
        <w:t xml:space="preserve">s </w:t>
      </w:r>
      <w:r w:rsidR="002F6B37">
        <w:rPr>
          <w:b/>
          <w:u w:val="single"/>
          <w:lang w:val="ca-ES"/>
        </w:rPr>
        <w:t>(de 16 a 64 any</w:t>
      </w:r>
      <w:r w:rsidRPr="00132250">
        <w:rPr>
          <w:b/>
          <w:u w:val="single"/>
          <w:lang w:val="ca-ES"/>
        </w:rPr>
        <w:t xml:space="preserve">s), </w:t>
      </w:r>
      <w:r>
        <w:rPr>
          <w:b/>
          <w:u w:val="single"/>
          <w:lang w:val="ca-ES"/>
        </w:rPr>
        <w:t>que</w:t>
      </w:r>
      <w:r w:rsidRPr="00132250">
        <w:rPr>
          <w:b/>
          <w:u w:val="single"/>
          <w:lang w:val="ca-ES"/>
        </w:rPr>
        <w:t xml:space="preserve"> h</w:t>
      </w:r>
      <w:r>
        <w:rPr>
          <w:b/>
          <w:u w:val="single"/>
          <w:lang w:val="ca-ES"/>
        </w:rPr>
        <w:t>ag</w:t>
      </w:r>
      <w:r w:rsidR="003F1D7D">
        <w:rPr>
          <w:b/>
          <w:u w:val="single"/>
          <w:lang w:val="ca-ES"/>
        </w:rPr>
        <w:t>i</w:t>
      </w:r>
      <w:r>
        <w:rPr>
          <w:b/>
          <w:u w:val="single"/>
          <w:lang w:val="ca-ES"/>
        </w:rPr>
        <w:t xml:space="preserve">n </w:t>
      </w:r>
      <w:r w:rsidR="002F6B37">
        <w:rPr>
          <w:b/>
          <w:u w:val="single"/>
          <w:lang w:val="ca-ES"/>
        </w:rPr>
        <w:t>reduït</w:t>
      </w:r>
      <w:r>
        <w:rPr>
          <w:b/>
          <w:u w:val="single"/>
          <w:lang w:val="ca-ES"/>
        </w:rPr>
        <w:t xml:space="preserve"> el</w:t>
      </w:r>
      <w:r w:rsidRPr="00132250">
        <w:rPr>
          <w:b/>
          <w:u w:val="single"/>
          <w:lang w:val="ca-ES"/>
        </w:rPr>
        <w:t xml:space="preserve"> número </w:t>
      </w:r>
      <w:r>
        <w:rPr>
          <w:b/>
          <w:u w:val="single"/>
          <w:lang w:val="ca-ES"/>
        </w:rPr>
        <w:t>d’hores</w:t>
      </w:r>
      <w:r w:rsidRPr="00132250">
        <w:rPr>
          <w:b/>
          <w:u w:val="single"/>
          <w:lang w:val="ca-ES"/>
        </w:rPr>
        <w:t xml:space="preserve"> tr</w:t>
      </w:r>
      <w:r>
        <w:rPr>
          <w:b/>
          <w:u w:val="single"/>
          <w:lang w:val="ca-ES"/>
        </w:rPr>
        <w:t>eballades</w:t>
      </w:r>
      <w:r w:rsidRPr="00132250">
        <w:rPr>
          <w:b/>
          <w:u w:val="single"/>
          <w:lang w:val="ca-ES"/>
        </w:rPr>
        <w:t xml:space="preserve"> </w:t>
      </w:r>
      <w:r>
        <w:rPr>
          <w:b/>
          <w:u w:val="single"/>
          <w:lang w:val="ca-ES"/>
        </w:rPr>
        <w:t>per a la cura de fills</w:t>
      </w:r>
      <w:r w:rsidR="00693BBF">
        <w:rPr>
          <w:b/>
          <w:u w:val="single"/>
          <w:lang w:val="ca-ES"/>
        </w:rPr>
        <w:t>, percentatge, 2010</w:t>
      </w:r>
    </w:p>
    <w:p w:rsidR="00693BBF" w:rsidRDefault="00693BBF" w:rsidP="00693BBF">
      <w:pPr>
        <w:jc w:val="center"/>
        <w:rPr>
          <w:b/>
          <w:u w:val="single"/>
          <w:lang w:val="ca-ES"/>
        </w:rPr>
      </w:pPr>
      <w:r w:rsidRPr="00693BBF">
        <w:rPr>
          <w:noProof/>
        </w:rPr>
        <w:drawing>
          <wp:inline distT="0" distB="0" distL="0" distR="0">
            <wp:extent cx="4099726" cy="2558648"/>
            <wp:effectExtent l="19050" t="0" r="0" b="0"/>
            <wp:docPr id="3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srcRect/>
                    <a:stretch>
                      <a:fillRect/>
                    </a:stretch>
                  </pic:blipFill>
                  <pic:spPr bwMode="auto">
                    <a:xfrm>
                      <a:off x="0" y="0"/>
                      <a:ext cx="4102595" cy="2560439"/>
                    </a:xfrm>
                    <a:prstGeom prst="rect">
                      <a:avLst/>
                    </a:prstGeom>
                    <a:noFill/>
                    <a:ln w="9525">
                      <a:noFill/>
                      <a:miter lim="800000"/>
                      <a:headEnd/>
                      <a:tailEnd/>
                    </a:ln>
                  </pic:spPr>
                </pic:pic>
              </a:graphicData>
            </a:graphic>
          </wp:inline>
        </w:drawing>
      </w:r>
    </w:p>
    <w:p w:rsidR="00693BBF" w:rsidRPr="00693BBF" w:rsidRDefault="00693BBF" w:rsidP="00693BBF">
      <w:pPr>
        <w:jc w:val="center"/>
        <w:rPr>
          <w:sz w:val="20"/>
          <w:szCs w:val="20"/>
          <w:lang w:val="ca-ES"/>
        </w:rPr>
      </w:pPr>
      <w:r w:rsidRPr="00693BBF">
        <w:rPr>
          <w:sz w:val="20"/>
          <w:szCs w:val="20"/>
          <w:lang w:val="ca-ES"/>
        </w:rPr>
        <w:t>Font: EPA, INE</w:t>
      </w:r>
    </w:p>
    <w:p w:rsidR="00781798" w:rsidRPr="001647B3" w:rsidRDefault="00781798" w:rsidP="00035611">
      <w:pPr>
        <w:pStyle w:val="Prrafodelista"/>
        <w:jc w:val="both"/>
        <w:rPr>
          <w:sz w:val="24"/>
          <w:szCs w:val="24"/>
          <w:lang w:val="ca-ES"/>
        </w:rPr>
      </w:pPr>
    </w:p>
    <w:p w:rsidR="002C50EE" w:rsidRDefault="005D5A22" w:rsidP="005D5A22">
      <w:pPr>
        <w:pStyle w:val="Prrafodelista"/>
        <w:ind w:left="0"/>
        <w:jc w:val="both"/>
        <w:rPr>
          <w:sz w:val="24"/>
          <w:szCs w:val="24"/>
          <w:lang w:val="ca-ES"/>
        </w:rPr>
      </w:pPr>
      <w:r>
        <w:rPr>
          <w:sz w:val="24"/>
          <w:szCs w:val="24"/>
          <w:lang w:val="ca-ES"/>
        </w:rPr>
        <w:t>En quant als contractes a temps parcial, aquesta és una modalitat que majoritàriament és emprada per dones, ja que 7 de cada 10 contractes a temps parcial estan signats per dones.</w:t>
      </w:r>
    </w:p>
    <w:p w:rsidR="005D5A22" w:rsidRDefault="005D5A22" w:rsidP="005D5A22">
      <w:pPr>
        <w:pStyle w:val="Prrafodelista"/>
        <w:ind w:left="0"/>
        <w:jc w:val="both"/>
        <w:rPr>
          <w:sz w:val="24"/>
          <w:szCs w:val="24"/>
          <w:lang w:val="ca-ES"/>
        </w:rPr>
      </w:pPr>
    </w:p>
    <w:p w:rsidR="005D5A22" w:rsidRDefault="005D5A22" w:rsidP="005D5A22">
      <w:pPr>
        <w:pStyle w:val="Prrafodelista"/>
        <w:ind w:left="0"/>
        <w:jc w:val="both"/>
        <w:rPr>
          <w:sz w:val="24"/>
          <w:szCs w:val="24"/>
          <w:lang w:val="ca-ES"/>
        </w:rPr>
      </w:pPr>
      <w:r>
        <w:rPr>
          <w:sz w:val="24"/>
          <w:szCs w:val="24"/>
          <w:lang w:val="ca-ES"/>
        </w:rPr>
        <w:t xml:space="preserve">Segons les enquestes, el motiu de fer servir aquesta modalitat de contractació entre </w:t>
      </w:r>
      <w:r w:rsidR="00F364AA">
        <w:rPr>
          <w:sz w:val="24"/>
          <w:szCs w:val="24"/>
          <w:lang w:val="ca-ES"/>
        </w:rPr>
        <w:t xml:space="preserve">el 63,6 % de </w:t>
      </w:r>
      <w:r>
        <w:rPr>
          <w:sz w:val="24"/>
          <w:szCs w:val="24"/>
          <w:lang w:val="ca-ES"/>
        </w:rPr>
        <w:t>les dones de 35 a 44 anys és la necessitat de tenir cura de persones dependents. (Veure gràfic)</w:t>
      </w:r>
    </w:p>
    <w:p w:rsidR="005D5A22" w:rsidRDefault="005D5A22" w:rsidP="005D5A22">
      <w:pPr>
        <w:pStyle w:val="Prrafodelista"/>
        <w:ind w:left="0"/>
        <w:jc w:val="both"/>
        <w:rPr>
          <w:sz w:val="24"/>
          <w:szCs w:val="24"/>
          <w:lang w:val="ca-ES"/>
        </w:rPr>
      </w:pPr>
    </w:p>
    <w:p w:rsidR="001647B3" w:rsidRDefault="00F364AA" w:rsidP="005D5A22">
      <w:pPr>
        <w:pStyle w:val="Prrafodelista"/>
        <w:jc w:val="center"/>
        <w:rPr>
          <w:b/>
          <w:sz w:val="24"/>
          <w:szCs w:val="24"/>
          <w:u w:val="single"/>
          <w:lang w:val="ca-ES"/>
        </w:rPr>
      </w:pPr>
      <w:r>
        <w:rPr>
          <w:b/>
          <w:sz w:val="24"/>
          <w:szCs w:val="24"/>
          <w:u w:val="single"/>
          <w:lang w:val="ca-ES"/>
        </w:rPr>
        <w:t>% de p</w:t>
      </w:r>
      <w:r w:rsidR="005D5A22" w:rsidRPr="005D5A22">
        <w:rPr>
          <w:b/>
          <w:sz w:val="24"/>
          <w:szCs w:val="24"/>
          <w:u w:val="single"/>
          <w:lang w:val="ca-ES"/>
        </w:rPr>
        <w:t>ersones ocupades a temps parcial</w:t>
      </w:r>
      <w:r>
        <w:rPr>
          <w:b/>
          <w:sz w:val="24"/>
          <w:szCs w:val="24"/>
          <w:u w:val="single"/>
          <w:lang w:val="ca-ES"/>
        </w:rPr>
        <w:t>,</w:t>
      </w:r>
      <w:r w:rsidR="005D5A22" w:rsidRPr="005D5A22">
        <w:rPr>
          <w:b/>
          <w:sz w:val="24"/>
          <w:szCs w:val="24"/>
          <w:u w:val="single"/>
          <w:lang w:val="ca-ES"/>
        </w:rPr>
        <w:t xml:space="preserve"> perquè </w:t>
      </w:r>
      <w:r w:rsidRPr="005D5A22">
        <w:rPr>
          <w:b/>
          <w:sz w:val="24"/>
          <w:szCs w:val="24"/>
          <w:u w:val="single"/>
          <w:lang w:val="ca-ES"/>
        </w:rPr>
        <w:t>tenen</w:t>
      </w:r>
      <w:r w:rsidR="005D5A22" w:rsidRPr="005D5A22">
        <w:rPr>
          <w:b/>
          <w:sz w:val="24"/>
          <w:szCs w:val="24"/>
          <w:u w:val="single"/>
          <w:lang w:val="ca-ES"/>
        </w:rPr>
        <w:t xml:space="preserve"> cura de persones dependents, per grups d’edat. 2014, Espanya</w:t>
      </w:r>
    </w:p>
    <w:p w:rsidR="00F364AA" w:rsidRPr="005D5A22" w:rsidRDefault="00F364AA" w:rsidP="005D5A22">
      <w:pPr>
        <w:pStyle w:val="Prrafodelista"/>
        <w:jc w:val="center"/>
        <w:rPr>
          <w:b/>
          <w:sz w:val="24"/>
          <w:szCs w:val="24"/>
          <w:u w:val="single"/>
          <w:lang w:val="ca-ES"/>
        </w:rPr>
      </w:pPr>
      <w:r w:rsidRPr="00F364AA">
        <w:rPr>
          <w:noProof/>
          <w:szCs w:val="24"/>
        </w:rPr>
        <w:drawing>
          <wp:inline distT="0" distB="0" distL="0" distR="0">
            <wp:extent cx="4420870" cy="2759075"/>
            <wp:effectExtent l="19050" t="0" r="0" b="0"/>
            <wp:docPr id="3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4420870" cy="2759075"/>
                    </a:xfrm>
                    <a:prstGeom prst="rect">
                      <a:avLst/>
                    </a:prstGeom>
                    <a:noFill/>
                    <a:ln w="9525">
                      <a:noFill/>
                      <a:miter lim="800000"/>
                      <a:headEnd/>
                      <a:tailEnd/>
                    </a:ln>
                  </pic:spPr>
                </pic:pic>
              </a:graphicData>
            </a:graphic>
          </wp:inline>
        </w:drawing>
      </w:r>
    </w:p>
    <w:p w:rsidR="005D5A22" w:rsidRPr="005D5A22" w:rsidRDefault="005D5A22" w:rsidP="005D5A22">
      <w:pPr>
        <w:pStyle w:val="Prrafodelista"/>
        <w:jc w:val="center"/>
        <w:rPr>
          <w:sz w:val="20"/>
          <w:szCs w:val="20"/>
          <w:lang w:val="ca-ES"/>
        </w:rPr>
      </w:pPr>
      <w:r w:rsidRPr="005D5A22">
        <w:rPr>
          <w:sz w:val="20"/>
          <w:szCs w:val="20"/>
          <w:lang w:val="ca-ES"/>
        </w:rPr>
        <w:t>Font: EPA, INE</w:t>
      </w:r>
    </w:p>
    <w:p w:rsidR="005C23AE" w:rsidRDefault="005C23AE" w:rsidP="00035611">
      <w:pPr>
        <w:pStyle w:val="Prrafodelista"/>
        <w:jc w:val="both"/>
        <w:rPr>
          <w:sz w:val="24"/>
          <w:szCs w:val="24"/>
          <w:u w:val="single"/>
          <w:lang w:val="ca-ES"/>
        </w:rPr>
      </w:pPr>
    </w:p>
    <w:p w:rsidR="00F364AA" w:rsidRDefault="00F364AA" w:rsidP="00035611">
      <w:pPr>
        <w:pStyle w:val="Prrafodelista"/>
        <w:jc w:val="both"/>
        <w:rPr>
          <w:sz w:val="24"/>
          <w:szCs w:val="24"/>
          <w:u w:val="single"/>
          <w:lang w:val="ca-ES"/>
        </w:rPr>
      </w:pPr>
    </w:p>
    <w:p w:rsidR="00F364AA" w:rsidRDefault="00F364AA" w:rsidP="00F364AA">
      <w:pPr>
        <w:pStyle w:val="Prrafodelista"/>
        <w:numPr>
          <w:ilvl w:val="0"/>
          <w:numId w:val="4"/>
        </w:numPr>
        <w:ind w:left="284" w:hanging="284"/>
        <w:jc w:val="both"/>
        <w:rPr>
          <w:b/>
          <w:color w:val="C00000"/>
          <w:sz w:val="28"/>
          <w:szCs w:val="28"/>
          <w:u w:val="single"/>
          <w:lang w:val="ca-ES"/>
        </w:rPr>
      </w:pPr>
      <w:r w:rsidRPr="00F364AA">
        <w:rPr>
          <w:b/>
          <w:color w:val="C00000"/>
          <w:sz w:val="28"/>
          <w:szCs w:val="28"/>
          <w:u w:val="single"/>
          <w:lang w:val="ca-ES"/>
        </w:rPr>
        <w:t>C</w:t>
      </w:r>
      <w:r>
        <w:rPr>
          <w:b/>
          <w:color w:val="C00000"/>
          <w:sz w:val="28"/>
          <w:szCs w:val="28"/>
          <w:u w:val="single"/>
          <w:lang w:val="ca-ES"/>
        </w:rPr>
        <w:t>onclusions</w:t>
      </w:r>
    </w:p>
    <w:p w:rsidR="002E4CEF" w:rsidRPr="00F364AA" w:rsidRDefault="002E4CEF" w:rsidP="002E4CEF">
      <w:pPr>
        <w:pStyle w:val="Prrafodelista"/>
        <w:ind w:left="284"/>
        <w:jc w:val="both"/>
        <w:rPr>
          <w:b/>
          <w:color w:val="C00000"/>
          <w:sz w:val="28"/>
          <w:szCs w:val="28"/>
          <w:u w:val="single"/>
          <w:lang w:val="ca-ES"/>
        </w:rPr>
      </w:pPr>
    </w:p>
    <w:p w:rsidR="00E42FE4" w:rsidRDefault="002E4CEF" w:rsidP="002E4CEF">
      <w:pPr>
        <w:pStyle w:val="Prrafodelista"/>
        <w:numPr>
          <w:ilvl w:val="0"/>
          <w:numId w:val="7"/>
        </w:numPr>
        <w:jc w:val="both"/>
        <w:rPr>
          <w:sz w:val="24"/>
          <w:szCs w:val="24"/>
          <w:lang w:val="ca-ES"/>
        </w:rPr>
      </w:pPr>
      <w:r w:rsidRPr="002E4CEF">
        <w:rPr>
          <w:sz w:val="24"/>
          <w:szCs w:val="24"/>
          <w:lang w:val="ca-ES"/>
        </w:rPr>
        <w:t>El 2013 a Catalunya, la bretxa salarial es va situar en un 25,1%, 1,1 punt per sobre de la mitjana estatal.</w:t>
      </w:r>
    </w:p>
    <w:p w:rsidR="002E4CEF" w:rsidRPr="002E4CEF" w:rsidRDefault="002E4CEF" w:rsidP="002E4CEF">
      <w:pPr>
        <w:pStyle w:val="Prrafodelista"/>
        <w:jc w:val="both"/>
        <w:rPr>
          <w:sz w:val="24"/>
          <w:szCs w:val="24"/>
          <w:lang w:val="ca-ES"/>
        </w:rPr>
      </w:pPr>
    </w:p>
    <w:p w:rsidR="002E4CEF" w:rsidRDefault="002E4CEF" w:rsidP="002E4CEF">
      <w:pPr>
        <w:pStyle w:val="Prrafodelista"/>
        <w:numPr>
          <w:ilvl w:val="0"/>
          <w:numId w:val="7"/>
        </w:numPr>
        <w:jc w:val="both"/>
        <w:rPr>
          <w:sz w:val="24"/>
          <w:szCs w:val="24"/>
          <w:lang w:val="ca-ES"/>
        </w:rPr>
      </w:pPr>
      <w:r w:rsidRPr="002E4CEF">
        <w:rPr>
          <w:sz w:val="24"/>
          <w:szCs w:val="24"/>
          <w:lang w:val="ca-ES"/>
        </w:rPr>
        <w:t>La bretxa salarial segons franges d’edat, segueix un patró ascendent i arriba al seu màxim a la franja d’edat dels 45 als 54 anys, on el 2013 a Catalunya es va situar en el 29,9% de bretxa.</w:t>
      </w:r>
    </w:p>
    <w:p w:rsidR="002E4CEF" w:rsidRPr="002E4CEF" w:rsidRDefault="002E4CEF" w:rsidP="002E4CEF">
      <w:pPr>
        <w:pStyle w:val="Prrafodelista"/>
        <w:rPr>
          <w:sz w:val="24"/>
          <w:szCs w:val="24"/>
          <w:lang w:val="ca-ES"/>
        </w:rPr>
      </w:pPr>
    </w:p>
    <w:p w:rsidR="002E4CEF" w:rsidRPr="002E4CEF" w:rsidRDefault="002E4CEF" w:rsidP="002E4CEF">
      <w:pPr>
        <w:pStyle w:val="Prrafodelista"/>
        <w:jc w:val="both"/>
        <w:rPr>
          <w:sz w:val="24"/>
          <w:szCs w:val="24"/>
          <w:lang w:val="ca-ES"/>
        </w:rPr>
      </w:pPr>
    </w:p>
    <w:p w:rsidR="002E4CEF" w:rsidRDefault="002E4CEF" w:rsidP="002E4CEF">
      <w:pPr>
        <w:pStyle w:val="Prrafodelista"/>
        <w:numPr>
          <w:ilvl w:val="0"/>
          <w:numId w:val="7"/>
        </w:numPr>
        <w:jc w:val="both"/>
        <w:rPr>
          <w:sz w:val="24"/>
          <w:szCs w:val="24"/>
          <w:lang w:val="ca-ES"/>
        </w:rPr>
      </w:pPr>
      <w:r w:rsidRPr="002E4CEF">
        <w:rPr>
          <w:sz w:val="24"/>
          <w:szCs w:val="24"/>
          <w:lang w:val="ca-ES"/>
        </w:rPr>
        <w:t>La incorporació al mercat laboral dels i les joves es produeix ja en desigualtat salarial. Les menors de 25 anys cobren un 25,5% menys que ells.</w:t>
      </w:r>
      <w:r>
        <w:rPr>
          <w:sz w:val="24"/>
          <w:szCs w:val="24"/>
          <w:lang w:val="ca-ES"/>
        </w:rPr>
        <w:t xml:space="preserve"> Una de les raons es la segmentació laboral: les noies estan ocupades a sectors i ocupacions típicament </w:t>
      </w:r>
      <w:r w:rsidR="00264CE7">
        <w:rPr>
          <w:sz w:val="24"/>
          <w:szCs w:val="24"/>
          <w:lang w:val="ca-ES"/>
        </w:rPr>
        <w:t xml:space="preserve">feminitzats, com els serveis, </w:t>
      </w:r>
      <w:r>
        <w:rPr>
          <w:sz w:val="24"/>
          <w:szCs w:val="24"/>
          <w:lang w:val="ca-ES"/>
        </w:rPr>
        <w:t>pitjor remunerats.</w:t>
      </w:r>
      <w:r w:rsidR="00D42E4A">
        <w:rPr>
          <w:sz w:val="24"/>
          <w:szCs w:val="24"/>
          <w:lang w:val="ca-ES"/>
        </w:rPr>
        <w:t xml:space="preserve"> En general, quan major està feminitzat el sector, menor és la seva remuneració.</w:t>
      </w:r>
    </w:p>
    <w:p w:rsidR="002E4CEF" w:rsidRPr="002E4CEF" w:rsidRDefault="002E4CEF" w:rsidP="002E4CEF">
      <w:pPr>
        <w:pStyle w:val="Prrafodelista"/>
        <w:jc w:val="both"/>
        <w:rPr>
          <w:sz w:val="24"/>
          <w:szCs w:val="24"/>
          <w:lang w:val="ca-ES"/>
        </w:rPr>
      </w:pPr>
    </w:p>
    <w:p w:rsidR="002E4CEF" w:rsidRDefault="002E4CEF" w:rsidP="002E4CEF">
      <w:pPr>
        <w:pStyle w:val="Prrafodelista"/>
        <w:numPr>
          <w:ilvl w:val="0"/>
          <w:numId w:val="7"/>
        </w:numPr>
        <w:jc w:val="both"/>
        <w:rPr>
          <w:sz w:val="24"/>
          <w:szCs w:val="24"/>
          <w:lang w:val="ca-ES"/>
        </w:rPr>
      </w:pPr>
      <w:r w:rsidRPr="002E4CEF">
        <w:rPr>
          <w:sz w:val="24"/>
          <w:szCs w:val="24"/>
          <w:lang w:val="ca-ES"/>
        </w:rPr>
        <w:t>La taxa baixa al 14,6% a la següent generació, la dels 25 a 34 anys, però augmenta clarament a partir dels 34 anys fins al 22,2%, coincidint amb l’edat reproductiva i necessitats de conciliació.</w:t>
      </w:r>
    </w:p>
    <w:p w:rsidR="002E4CEF" w:rsidRPr="002E4CEF" w:rsidRDefault="002E4CEF" w:rsidP="002E4CEF">
      <w:pPr>
        <w:pStyle w:val="Prrafodelista"/>
        <w:jc w:val="both"/>
        <w:rPr>
          <w:sz w:val="24"/>
          <w:szCs w:val="24"/>
          <w:lang w:val="ca-ES"/>
        </w:rPr>
      </w:pPr>
    </w:p>
    <w:p w:rsidR="002E4CEF" w:rsidRDefault="002E4CEF" w:rsidP="002E4CEF">
      <w:pPr>
        <w:pStyle w:val="Prrafodelista"/>
        <w:numPr>
          <w:ilvl w:val="0"/>
          <w:numId w:val="7"/>
        </w:numPr>
        <w:jc w:val="both"/>
        <w:rPr>
          <w:sz w:val="24"/>
          <w:szCs w:val="24"/>
          <w:lang w:val="ca-ES"/>
        </w:rPr>
      </w:pPr>
      <w:r w:rsidRPr="002E4CEF">
        <w:rPr>
          <w:sz w:val="24"/>
          <w:szCs w:val="24"/>
          <w:lang w:val="ca-ES"/>
        </w:rPr>
        <w:t>El salari de les dones s’estanca  a partir d’aquest moment, mentre el dels homes continua augmentant. Aquest fet fa que la breta pugi fins el 29,9% entre la població ocupada de 45 a 54 anys.</w:t>
      </w:r>
    </w:p>
    <w:p w:rsidR="002E4CEF" w:rsidRPr="002E4CEF" w:rsidRDefault="002E4CEF" w:rsidP="002E4CEF">
      <w:pPr>
        <w:pStyle w:val="Prrafodelista"/>
        <w:jc w:val="both"/>
        <w:rPr>
          <w:sz w:val="24"/>
          <w:szCs w:val="24"/>
          <w:lang w:val="ca-ES"/>
        </w:rPr>
      </w:pPr>
    </w:p>
    <w:p w:rsidR="002E4CEF" w:rsidRDefault="002E4CEF" w:rsidP="002E4CEF">
      <w:pPr>
        <w:pStyle w:val="Prrafodelista"/>
        <w:numPr>
          <w:ilvl w:val="0"/>
          <w:numId w:val="7"/>
        </w:numPr>
        <w:jc w:val="both"/>
        <w:rPr>
          <w:sz w:val="24"/>
          <w:szCs w:val="24"/>
          <w:lang w:val="ca-ES"/>
        </w:rPr>
      </w:pPr>
      <w:r w:rsidRPr="002E4CEF">
        <w:rPr>
          <w:sz w:val="24"/>
          <w:szCs w:val="24"/>
          <w:lang w:val="ca-ES"/>
        </w:rPr>
        <w:t>Aquest comportament, referent a l’any 213, és similar durant altres anys estudiats.</w:t>
      </w:r>
    </w:p>
    <w:p w:rsidR="00D42E4A" w:rsidRPr="00D42E4A" w:rsidRDefault="00D42E4A" w:rsidP="00D42E4A">
      <w:pPr>
        <w:pStyle w:val="Prrafodelista"/>
        <w:rPr>
          <w:sz w:val="24"/>
          <w:szCs w:val="24"/>
          <w:lang w:val="ca-ES"/>
        </w:rPr>
      </w:pPr>
    </w:p>
    <w:p w:rsidR="00D42E4A" w:rsidRDefault="00D42E4A" w:rsidP="002E4CEF">
      <w:pPr>
        <w:pStyle w:val="Prrafodelista"/>
        <w:numPr>
          <w:ilvl w:val="0"/>
          <w:numId w:val="7"/>
        </w:numPr>
        <w:jc w:val="both"/>
        <w:rPr>
          <w:sz w:val="24"/>
          <w:szCs w:val="24"/>
          <w:lang w:val="ca-ES"/>
        </w:rPr>
      </w:pPr>
      <w:r>
        <w:rPr>
          <w:sz w:val="24"/>
          <w:szCs w:val="24"/>
          <w:lang w:val="ca-ES"/>
        </w:rPr>
        <w:t>L’edat reproductiva marca un punt d’inflexió en la vida laboral de les dones: tenir fills és factor d’abandonament del mercat laboral en elles, mentre que ells augmenten la taxa d’ocupació.</w:t>
      </w:r>
    </w:p>
    <w:p w:rsidR="00D42E4A" w:rsidRPr="00D42E4A" w:rsidRDefault="00D42E4A" w:rsidP="00D42E4A">
      <w:pPr>
        <w:pStyle w:val="Prrafodelista"/>
        <w:rPr>
          <w:sz w:val="24"/>
          <w:szCs w:val="24"/>
          <w:lang w:val="ca-ES"/>
        </w:rPr>
      </w:pPr>
    </w:p>
    <w:p w:rsidR="00D42E4A" w:rsidRDefault="00D42E4A" w:rsidP="002E4CEF">
      <w:pPr>
        <w:pStyle w:val="Prrafodelista"/>
        <w:numPr>
          <w:ilvl w:val="0"/>
          <w:numId w:val="7"/>
        </w:numPr>
        <w:jc w:val="both"/>
        <w:rPr>
          <w:sz w:val="24"/>
          <w:szCs w:val="24"/>
          <w:lang w:val="ca-ES"/>
        </w:rPr>
      </w:pPr>
      <w:r>
        <w:rPr>
          <w:sz w:val="24"/>
          <w:szCs w:val="24"/>
          <w:lang w:val="ca-ES"/>
        </w:rPr>
        <w:t>Les dones estan menys presents al mercat laboral remunerat, parcial o totalment, a causa de la conciliació i aquest fet té conseqüències en les trajectòries laborals, moltes vegades estancades per aquest motiu.</w:t>
      </w:r>
    </w:p>
    <w:p w:rsidR="00D42E4A" w:rsidRPr="00D42E4A" w:rsidRDefault="00D42E4A" w:rsidP="00D42E4A">
      <w:pPr>
        <w:pStyle w:val="Prrafodelista"/>
        <w:rPr>
          <w:sz w:val="24"/>
          <w:szCs w:val="24"/>
          <w:lang w:val="ca-ES"/>
        </w:rPr>
      </w:pPr>
    </w:p>
    <w:p w:rsidR="00D42E4A" w:rsidRPr="00D42E4A" w:rsidRDefault="00D42E4A" w:rsidP="00D42E4A">
      <w:pPr>
        <w:pStyle w:val="Prrafodelista"/>
        <w:numPr>
          <w:ilvl w:val="0"/>
          <w:numId w:val="4"/>
        </w:numPr>
        <w:ind w:left="284" w:hanging="284"/>
        <w:jc w:val="both"/>
        <w:rPr>
          <w:b/>
          <w:color w:val="C00000"/>
          <w:sz w:val="28"/>
          <w:szCs w:val="28"/>
          <w:u w:val="single"/>
          <w:lang w:val="ca-ES"/>
        </w:rPr>
      </w:pPr>
      <w:r w:rsidRPr="00D42E4A">
        <w:rPr>
          <w:b/>
          <w:color w:val="C00000"/>
          <w:sz w:val="28"/>
          <w:szCs w:val="28"/>
          <w:u w:val="single"/>
          <w:lang w:val="ca-ES"/>
        </w:rPr>
        <w:t>Recomanacions</w:t>
      </w:r>
    </w:p>
    <w:p w:rsidR="002E4CEF" w:rsidRDefault="00D42E4A" w:rsidP="00035611">
      <w:pPr>
        <w:jc w:val="both"/>
        <w:rPr>
          <w:sz w:val="24"/>
          <w:szCs w:val="24"/>
          <w:lang w:val="ca-ES"/>
        </w:rPr>
      </w:pPr>
      <w:r>
        <w:rPr>
          <w:sz w:val="24"/>
          <w:szCs w:val="24"/>
          <w:lang w:val="ca-ES"/>
        </w:rPr>
        <w:t>Des de la UGT de Catalunya, denunciem i lluitem contra tot tipus de discriminacions dins i fora del mercat laboral. En el cas de les discriminacions per motiu de gènere, ambdós espais estan íntimament relacionats: la manca de coresponsabilitat i l’assignació de rols diferenciats en la cura de família i llar, situa les dones en situació de desavantatge absoluta al mercat laboral front els homes.</w:t>
      </w:r>
    </w:p>
    <w:p w:rsidR="00D42E4A" w:rsidRDefault="00D42E4A" w:rsidP="00035611">
      <w:pPr>
        <w:jc w:val="both"/>
        <w:rPr>
          <w:sz w:val="24"/>
          <w:szCs w:val="24"/>
          <w:lang w:val="ca-ES"/>
        </w:rPr>
      </w:pPr>
      <w:r>
        <w:rPr>
          <w:sz w:val="24"/>
          <w:szCs w:val="24"/>
          <w:lang w:val="ca-ES"/>
        </w:rPr>
        <w:t>Per aquest motiu, és indispensable</w:t>
      </w:r>
      <w:r w:rsidRPr="009B7643">
        <w:rPr>
          <w:b/>
          <w:sz w:val="24"/>
          <w:szCs w:val="24"/>
          <w:lang w:val="ca-ES"/>
        </w:rPr>
        <w:t xml:space="preserve"> trencar amb els estereotips i assignació de rols de gènere: a l’escola, la família i a la feina</w:t>
      </w:r>
      <w:r>
        <w:rPr>
          <w:sz w:val="24"/>
          <w:szCs w:val="24"/>
          <w:lang w:val="ca-ES"/>
        </w:rPr>
        <w:t>.</w:t>
      </w:r>
    </w:p>
    <w:p w:rsidR="00B70E9D" w:rsidRDefault="00B70E9D" w:rsidP="00035611">
      <w:pPr>
        <w:jc w:val="both"/>
        <w:rPr>
          <w:sz w:val="24"/>
          <w:szCs w:val="24"/>
          <w:lang w:val="ca-ES"/>
        </w:rPr>
      </w:pPr>
      <w:r>
        <w:rPr>
          <w:sz w:val="24"/>
          <w:szCs w:val="24"/>
          <w:lang w:val="ca-ES"/>
        </w:rPr>
        <w:t xml:space="preserve">Hem de dotar de </w:t>
      </w:r>
      <w:r w:rsidRPr="009B7643">
        <w:rPr>
          <w:b/>
          <w:sz w:val="24"/>
          <w:szCs w:val="24"/>
          <w:lang w:val="ca-ES"/>
        </w:rPr>
        <w:t>més valor les feines de cura i atenció</w:t>
      </w:r>
      <w:r>
        <w:rPr>
          <w:sz w:val="24"/>
          <w:szCs w:val="24"/>
          <w:lang w:val="ca-ES"/>
        </w:rPr>
        <w:t>. El mercat capitalista no posa en valor les feines comunitàries, les feines d’atenció i les feines de cura. Però són precisament aquestes les que sostenen la societat, sense les quals seria impossible el manteniment de la resta de sectors.</w:t>
      </w:r>
    </w:p>
    <w:p w:rsidR="00B70E9D" w:rsidRDefault="00B70E9D" w:rsidP="00035611">
      <w:pPr>
        <w:jc w:val="both"/>
        <w:rPr>
          <w:sz w:val="24"/>
          <w:szCs w:val="24"/>
          <w:lang w:val="ca-ES"/>
        </w:rPr>
      </w:pPr>
      <w:r>
        <w:rPr>
          <w:sz w:val="24"/>
          <w:szCs w:val="24"/>
          <w:lang w:val="ca-ES"/>
        </w:rPr>
        <w:t xml:space="preserve">En aquest sentit, hem de lluitar per </w:t>
      </w:r>
      <w:r w:rsidRPr="009B7643">
        <w:rPr>
          <w:b/>
          <w:sz w:val="24"/>
          <w:szCs w:val="24"/>
          <w:lang w:val="ca-ES"/>
        </w:rPr>
        <w:t>millorar les condicions laborals d’aquells sectors més feminitzats,</w:t>
      </w:r>
      <w:r>
        <w:rPr>
          <w:sz w:val="24"/>
          <w:szCs w:val="24"/>
          <w:lang w:val="ca-ES"/>
        </w:rPr>
        <w:t xml:space="preserve"> on habitualment hi ha menys representació sindical per ser sectors nous i descentralitzats.</w:t>
      </w:r>
    </w:p>
    <w:p w:rsidR="009C7E3C" w:rsidRDefault="009C7E3C" w:rsidP="00035611">
      <w:pPr>
        <w:jc w:val="both"/>
        <w:rPr>
          <w:sz w:val="24"/>
          <w:szCs w:val="24"/>
          <w:lang w:val="ca-ES"/>
        </w:rPr>
      </w:pPr>
      <w:r w:rsidRPr="009B7643">
        <w:rPr>
          <w:b/>
          <w:sz w:val="24"/>
          <w:szCs w:val="24"/>
          <w:lang w:val="ca-ES"/>
        </w:rPr>
        <w:t>Exigim el desplegament de la Llei d’Igualtat de Catalunya</w:t>
      </w:r>
      <w:r>
        <w:rPr>
          <w:sz w:val="24"/>
          <w:szCs w:val="24"/>
          <w:lang w:val="ca-ES"/>
        </w:rPr>
        <w:t xml:space="preserve">, especialment pel que fa a la implementació de la figura de </w:t>
      </w:r>
      <w:r w:rsidRPr="009B7643">
        <w:rPr>
          <w:b/>
          <w:sz w:val="24"/>
          <w:szCs w:val="24"/>
          <w:lang w:val="ca-ES"/>
        </w:rPr>
        <w:t>l’Agent d’Igualtat a les empreses</w:t>
      </w:r>
      <w:r>
        <w:rPr>
          <w:sz w:val="24"/>
          <w:szCs w:val="24"/>
          <w:lang w:val="ca-ES"/>
        </w:rPr>
        <w:t>. Es tracta d’un/na delegat/da sindical a les empreses amb responsabilitats en l’àmbit d’igualtat d’oportunitats a l’empresa.</w:t>
      </w:r>
    </w:p>
    <w:p w:rsidR="009C7E3C" w:rsidRDefault="009C7E3C" w:rsidP="00035611">
      <w:pPr>
        <w:jc w:val="both"/>
        <w:rPr>
          <w:sz w:val="24"/>
          <w:szCs w:val="24"/>
          <w:lang w:val="ca-ES"/>
        </w:rPr>
      </w:pPr>
      <w:r>
        <w:rPr>
          <w:sz w:val="24"/>
          <w:szCs w:val="24"/>
          <w:lang w:val="ca-ES"/>
        </w:rPr>
        <w:t xml:space="preserve">La negociació col·lectiva és una eina fonamental en la lluita contra aquesta xacra que és la desigualtat salarial. En aquest sentit </w:t>
      </w:r>
      <w:r w:rsidRPr="009B7643">
        <w:rPr>
          <w:b/>
          <w:sz w:val="24"/>
          <w:szCs w:val="24"/>
          <w:lang w:val="ca-ES"/>
        </w:rPr>
        <w:t>l’Acord Interprofessional de Catalunya signat el 2015</w:t>
      </w:r>
      <w:r>
        <w:rPr>
          <w:sz w:val="24"/>
          <w:szCs w:val="24"/>
          <w:lang w:val="ca-ES"/>
        </w:rPr>
        <w:t xml:space="preserve"> estableix recomanacions a implantar als acords col·lectius de sector i d’empresa, també en l’àmbit de la bretxa salarial i discriminació de gènere.</w:t>
      </w:r>
    </w:p>
    <w:p w:rsidR="00EF2398" w:rsidRDefault="00EF2398" w:rsidP="00035611">
      <w:pPr>
        <w:jc w:val="both"/>
        <w:rPr>
          <w:sz w:val="24"/>
          <w:szCs w:val="24"/>
          <w:lang w:val="ca-ES"/>
        </w:rPr>
      </w:pPr>
      <w:r>
        <w:rPr>
          <w:sz w:val="24"/>
          <w:szCs w:val="24"/>
          <w:lang w:val="ca-ES"/>
        </w:rPr>
        <w:t xml:space="preserve">Reclamem que s’obri el debat i posterior </w:t>
      </w:r>
      <w:r w:rsidRPr="009B7643">
        <w:rPr>
          <w:b/>
          <w:sz w:val="24"/>
          <w:szCs w:val="24"/>
          <w:lang w:val="ca-ES"/>
        </w:rPr>
        <w:t xml:space="preserve">aprovació d’una llei de transparència salarial </w:t>
      </w:r>
      <w:r>
        <w:rPr>
          <w:sz w:val="24"/>
          <w:szCs w:val="24"/>
          <w:lang w:val="ca-ES"/>
        </w:rPr>
        <w:t>que obligui a les empreses a fer accessibles els salaris directes i indirectes així com els criteris salarials i de promoció amb el propòsit de lluitar contra la desigualtat salarial a les empreses.</w:t>
      </w:r>
    </w:p>
    <w:p w:rsidR="009C7E3C" w:rsidRDefault="009C7E3C" w:rsidP="00035611">
      <w:pPr>
        <w:jc w:val="both"/>
        <w:rPr>
          <w:sz w:val="24"/>
          <w:szCs w:val="24"/>
          <w:lang w:val="ca-ES"/>
        </w:rPr>
      </w:pPr>
      <w:r>
        <w:rPr>
          <w:sz w:val="24"/>
          <w:szCs w:val="24"/>
          <w:lang w:val="ca-ES"/>
        </w:rPr>
        <w:t xml:space="preserve">Per últim, és indispensable la </w:t>
      </w:r>
      <w:r w:rsidRPr="009B7643">
        <w:rPr>
          <w:b/>
          <w:sz w:val="24"/>
          <w:szCs w:val="24"/>
          <w:lang w:val="ca-ES"/>
        </w:rPr>
        <w:t>derogació</w:t>
      </w:r>
      <w:r w:rsidR="00EF2398" w:rsidRPr="009B7643">
        <w:rPr>
          <w:b/>
          <w:sz w:val="24"/>
          <w:szCs w:val="24"/>
          <w:lang w:val="ca-ES"/>
        </w:rPr>
        <w:t xml:space="preserve"> de la reforma laboral</w:t>
      </w:r>
      <w:r w:rsidR="00EF2398">
        <w:rPr>
          <w:sz w:val="24"/>
          <w:szCs w:val="24"/>
          <w:lang w:val="ca-ES"/>
        </w:rPr>
        <w:t xml:space="preserve"> implantada pel Partit Popular, doncs està afectant greument les condicions laborals i econòmiques de les dones treballadores.</w:t>
      </w:r>
    </w:p>
    <w:p w:rsidR="00D42E4A" w:rsidRPr="002E4CEF" w:rsidRDefault="00D42E4A" w:rsidP="00035611">
      <w:pPr>
        <w:jc w:val="both"/>
        <w:rPr>
          <w:sz w:val="24"/>
          <w:szCs w:val="24"/>
          <w:lang w:val="ca-ES"/>
        </w:rPr>
      </w:pPr>
    </w:p>
    <w:p w:rsidR="001647B3" w:rsidRPr="001647B3" w:rsidRDefault="001647B3" w:rsidP="00035611">
      <w:pPr>
        <w:jc w:val="both"/>
        <w:rPr>
          <w:sz w:val="24"/>
          <w:szCs w:val="24"/>
          <w:lang w:val="ca-ES"/>
        </w:rPr>
      </w:pPr>
    </w:p>
    <w:sectPr w:rsidR="001647B3" w:rsidRPr="001647B3" w:rsidSect="00095154">
      <w:headerReference w:type="default" r:id="rId22"/>
      <w:footerReference w:type="default" r:id="rId23"/>
      <w:pgSz w:w="11906" w:h="16838"/>
      <w:pgMar w:top="1417" w:right="2125" w:bottom="1417" w:left="1985"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E4A" w:rsidRDefault="00D42E4A" w:rsidP="00095154">
      <w:pPr>
        <w:spacing w:after="0" w:line="240" w:lineRule="auto"/>
      </w:pPr>
      <w:r>
        <w:separator/>
      </w:r>
    </w:p>
  </w:endnote>
  <w:endnote w:type="continuationSeparator" w:id="1">
    <w:p w:rsidR="00D42E4A" w:rsidRDefault="00D42E4A" w:rsidP="000951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E4A" w:rsidRDefault="00D42E4A" w:rsidP="00095154">
    <w:pPr>
      <w:pStyle w:val="Piedepgina"/>
      <w:tabs>
        <w:tab w:val="clear" w:pos="4252"/>
        <w:tab w:val="clear" w:pos="8504"/>
        <w:tab w:val="left" w:pos="2632"/>
      </w:tabs>
      <w:ind w:left="-1985"/>
    </w:pPr>
    <w:r>
      <w:tab/>
    </w:r>
    <w:r w:rsidRPr="00095154">
      <w:rPr>
        <w:noProof/>
      </w:rPr>
      <w:drawing>
        <wp:inline distT="0" distB="0" distL="0" distR="0">
          <wp:extent cx="7715432" cy="1561322"/>
          <wp:effectExtent l="19050" t="0" r="0" b="0"/>
          <wp:docPr id="18"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srcRect/>
                  <a:stretch>
                    <a:fillRect/>
                  </a:stretch>
                </pic:blipFill>
                <pic:spPr bwMode="auto">
                  <a:xfrm>
                    <a:off x="0" y="0"/>
                    <a:ext cx="7753394" cy="1569004"/>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E4A" w:rsidRDefault="00D42E4A" w:rsidP="00095154">
      <w:pPr>
        <w:spacing w:after="0" w:line="240" w:lineRule="auto"/>
      </w:pPr>
      <w:r>
        <w:separator/>
      </w:r>
    </w:p>
  </w:footnote>
  <w:footnote w:type="continuationSeparator" w:id="1">
    <w:p w:rsidR="00D42E4A" w:rsidRDefault="00D42E4A" w:rsidP="00095154">
      <w:pPr>
        <w:spacing w:after="0" w:line="240" w:lineRule="auto"/>
      </w:pPr>
      <w:r>
        <w:continuationSeparator/>
      </w:r>
    </w:p>
  </w:footnote>
  <w:footnote w:id="2">
    <w:p w:rsidR="00D42E4A" w:rsidRDefault="00D42E4A" w:rsidP="00215AFE">
      <w:pPr>
        <w:pStyle w:val="Textonotapie"/>
      </w:pPr>
      <w:r>
        <w:rPr>
          <w:rStyle w:val="Refdenotaalpie"/>
        </w:rPr>
        <w:footnoteRef/>
      </w:r>
      <w:r>
        <w:t xml:space="preserve"> EAES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13802"/>
      <w:docPartObj>
        <w:docPartGallery w:val="Page Numbers (Top of Page)"/>
        <w:docPartUnique/>
      </w:docPartObj>
    </w:sdtPr>
    <w:sdtContent>
      <w:p w:rsidR="00D42E4A" w:rsidRDefault="000054B0">
        <w:pPr>
          <w:pStyle w:val="Encabezado"/>
          <w:jc w:val="right"/>
        </w:pPr>
        <w:fldSimple w:instr=" PAGE   \* MERGEFORMAT ">
          <w:r w:rsidR="009B7643">
            <w:rPr>
              <w:noProof/>
            </w:rPr>
            <w:t>15</w:t>
          </w:r>
        </w:fldSimple>
      </w:p>
    </w:sdtContent>
  </w:sdt>
  <w:p w:rsidR="00D42E4A" w:rsidRDefault="00D42E4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0C7"/>
    <w:multiLevelType w:val="hybridMultilevel"/>
    <w:tmpl w:val="B400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B9C5D4D"/>
    <w:multiLevelType w:val="hybridMultilevel"/>
    <w:tmpl w:val="571E6D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81778E9"/>
    <w:multiLevelType w:val="hybridMultilevel"/>
    <w:tmpl w:val="C0DEA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6903EFB"/>
    <w:multiLevelType w:val="hybridMultilevel"/>
    <w:tmpl w:val="AC060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761F56"/>
    <w:multiLevelType w:val="hybridMultilevel"/>
    <w:tmpl w:val="E16A21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CF0779"/>
    <w:multiLevelType w:val="hybridMultilevel"/>
    <w:tmpl w:val="99805964"/>
    <w:lvl w:ilvl="0" w:tplc="C8B8CC54">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01451A"/>
    <w:multiLevelType w:val="hybridMultilevel"/>
    <w:tmpl w:val="638ED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AE3CCB"/>
    <w:rsid w:val="000054B0"/>
    <w:rsid w:val="00035611"/>
    <w:rsid w:val="00095154"/>
    <w:rsid w:val="000A1535"/>
    <w:rsid w:val="000D2D7C"/>
    <w:rsid w:val="000D3740"/>
    <w:rsid w:val="000F2FFE"/>
    <w:rsid w:val="00110AA3"/>
    <w:rsid w:val="00123320"/>
    <w:rsid w:val="00132250"/>
    <w:rsid w:val="00137046"/>
    <w:rsid w:val="0014668F"/>
    <w:rsid w:val="00160619"/>
    <w:rsid w:val="001647B3"/>
    <w:rsid w:val="0016714E"/>
    <w:rsid w:val="00171FE5"/>
    <w:rsid w:val="001746DC"/>
    <w:rsid w:val="001E06EE"/>
    <w:rsid w:val="001E5BCA"/>
    <w:rsid w:val="00215AFE"/>
    <w:rsid w:val="00264CE7"/>
    <w:rsid w:val="002C50EE"/>
    <w:rsid w:val="002D1DB2"/>
    <w:rsid w:val="002E1668"/>
    <w:rsid w:val="002E4CEF"/>
    <w:rsid w:val="002F6B37"/>
    <w:rsid w:val="00341D95"/>
    <w:rsid w:val="00354AE9"/>
    <w:rsid w:val="00395E9A"/>
    <w:rsid w:val="003E684A"/>
    <w:rsid w:val="003F1D7D"/>
    <w:rsid w:val="004071BD"/>
    <w:rsid w:val="004B52D7"/>
    <w:rsid w:val="004C2968"/>
    <w:rsid w:val="005324C6"/>
    <w:rsid w:val="00575123"/>
    <w:rsid w:val="005A399F"/>
    <w:rsid w:val="005B1599"/>
    <w:rsid w:val="005B292F"/>
    <w:rsid w:val="005C23AE"/>
    <w:rsid w:val="005C666D"/>
    <w:rsid w:val="005D5A22"/>
    <w:rsid w:val="0062748A"/>
    <w:rsid w:val="00671620"/>
    <w:rsid w:val="00685A2A"/>
    <w:rsid w:val="00693BBF"/>
    <w:rsid w:val="006A78B3"/>
    <w:rsid w:val="0070156F"/>
    <w:rsid w:val="007569FA"/>
    <w:rsid w:val="00760022"/>
    <w:rsid w:val="00773667"/>
    <w:rsid w:val="00781798"/>
    <w:rsid w:val="007A4D15"/>
    <w:rsid w:val="007B2619"/>
    <w:rsid w:val="007C47A9"/>
    <w:rsid w:val="007D19A2"/>
    <w:rsid w:val="00804FF6"/>
    <w:rsid w:val="00826C38"/>
    <w:rsid w:val="00887BAA"/>
    <w:rsid w:val="008A1E66"/>
    <w:rsid w:val="008F0022"/>
    <w:rsid w:val="008F2F1C"/>
    <w:rsid w:val="008F44A7"/>
    <w:rsid w:val="00957C8A"/>
    <w:rsid w:val="009604D0"/>
    <w:rsid w:val="009771C9"/>
    <w:rsid w:val="009B7643"/>
    <w:rsid w:val="009C7E3C"/>
    <w:rsid w:val="009F347B"/>
    <w:rsid w:val="00A932E5"/>
    <w:rsid w:val="00AC4236"/>
    <w:rsid w:val="00AD5735"/>
    <w:rsid w:val="00AE3CCB"/>
    <w:rsid w:val="00B55798"/>
    <w:rsid w:val="00B70E9D"/>
    <w:rsid w:val="00C467C2"/>
    <w:rsid w:val="00CA110B"/>
    <w:rsid w:val="00CF3BE5"/>
    <w:rsid w:val="00D42E4A"/>
    <w:rsid w:val="00D444AB"/>
    <w:rsid w:val="00D44B76"/>
    <w:rsid w:val="00D5539A"/>
    <w:rsid w:val="00D6088E"/>
    <w:rsid w:val="00D93C6B"/>
    <w:rsid w:val="00D94BB7"/>
    <w:rsid w:val="00DA26E5"/>
    <w:rsid w:val="00E26791"/>
    <w:rsid w:val="00E42FE4"/>
    <w:rsid w:val="00EC646B"/>
    <w:rsid w:val="00EE69C4"/>
    <w:rsid w:val="00EF2398"/>
    <w:rsid w:val="00F364AA"/>
    <w:rsid w:val="00F46852"/>
    <w:rsid w:val="00F86378"/>
    <w:rsid w:val="00F91F71"/>
    <w:rsid w:val="00FA2E71"/>
    <w:rsid w:val="00FD5B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3CCB"/>
    <w:pPr>
      <w:ind w:left="720"/>
      <w:contextualSpacing/>
    </w:pPr>
  </w:style>
  <w:style w:type="paragraph" w:styleId="Textodeglobo">
    <w:name w:val="Balloon Text"/>
    <w:basedOn w:val="Normal"/>
    <w:link w:val="TextodegloboCar"/>
    <w:uiPriority w:val="99"/>
    <w:semiHidden/>
    <w:unhideWhenUsed/>
    <w:rsid w:val="007C4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7A9"/>
    <w:rPr>
      <w:rFonts w:ascii="Tahoma" w:hAnsi="Tahoma" w:cs="Tahoma"/>
      <w:sz w:val="16"/>
      <w:szCs w:val="16"/>
    </w:rPr>
  </w:style>
  <w:style w:type="paragraph" w:styleId="Sinespaciado">
    <w:name w:val="No Spacing"/>
    <w:link w:val="SinespaciadoCar"/>
    <w:uiPriority w:val="1"/>
    <w:qFormat/>
    <w:rsid w:val="00035611"/>
    <w:pPr>
      <w:spacing w:after="0" w:line="240" w:lineRule="auto"/>
    </w:pPr>
    <w:rPr>
      <w:lang w:eastAsia="en-US"/>
    </w:rPr>
  </w:style>
  <w:style w:type="character" w:customStyle="1" w:styleId="SinespaciadoCar">
    <w:name w:val="Sin espaciado Car"/>
    <w:basedOn w:val="Fuentedeprrafopredeter"/>
    <w:link w:val="Sinespaciado"/>
    <w:uiPriority w:val="1"/>
    <w:rsid w:val="00035611"/>
    <w:rPr>
      <w:lang w:eastAsia="en-US"/>
    </w:rPr>
  </w:style>
  <w:style w:type="paragraph" w:styleId="Encabezado">
    <w:name w:val="header"/>
    <w:basedOn w:val="Normal"/>
    <w:link w:val="EncabezadoCar"/>
    <w:uiPriority w:val="99"/>
    <w:unhideWhenUsed/>
    <w:rsid w:val="00095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95154"/>
  </w:style>
  <w:style w:type="paragraph" w:styleId="Piedepgina">
    <w:name w:val="footer"/>
    <w:basedOn w:val="Normal"/>
    <w:link w:val="PiedepginaCar"/>
    <w:uiPriority w:val="99"/>
    <w:unhideWhenUsed/>
    <w:rsid w:val="00095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5154"/>
  </w:style>
  <w:style w:type="paragraph" w:styleId="Textonotapie">
    <w:name w:val="footnote text"/>
    <w:basedOn w:val="Normal"/>
    <w:link w:val="TextonotapieCar"/>
    <w:uiPriority w:val="99"/>
    <w:semiHidden/>
    <w:unhideWhenUsed/>
    <w:rsid w:val="008F2F1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2F1C"/>
    <w:rPr>
      <w:sz w:val="20"/>
      <w:szCs w:val="20"/>
    </w:rPr>
  </w:style>
  <w:style w:type="character" w:styleId="Refdenotaalpie">
    <w:name w:val="footnote reference"/>
    <w:basedOn w:val="Fuentedeprrafopredeter"/>
    <w:uiPriority w:val="99"/>
    <w:semiHidden/>
    <w:unhideWhenUsed/>
    <w:rsid w:val="008F2F1C"/>
    <w:rPr>
      <w:vertAlign w:val="superscript"/>
    </w:rPr>
  </w:style>
</w:styles>
</file>

<file path=word/webSettings.xml><?xml version="1.0" encoding="utf-8"?>
<w:webSettings xmlns:r="http://schemas.openxmlformats.org/officeDocument/2006/relationships" xmlns:w="http://schemas.openxmlformats.org/wordprocessingml/2006/main">
  <w:divs>
    <w:div w:id="68748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B0E79A4D6B6450384A3E4BB2FC2E052"/>
        <w:category>
          <w:name w:val="General"/>
          <w:gallery w:val="placeholder"/>
        </w:category>
        <w:types>
          <w:type w:val="bbPlcHdr"/>
        </w:types>
        <w:behaviors>
          <w:behavior w:val="content"/>
        </w:behaviors>
        <w:guid w:val="{C2D1B5CB-3C9C-4023-89B4-92890D3DAF17}"/>
      </w:docPartPr>
      <w:docPartBody>
        <w:p w:rsidR="00D7423D" w:rsidRDefault="00D7423D" w:rsidP="00D7423D">
          <w:pPr>
            <w:pStyle w:val="4B0E79A4D6B6450384A3E4BB2FC2E052"/>
          </w:pPr>
          <w:r>
            <w:rPr>
              <w:rFonts w:asciiTheme="majorHAnsi" w:eastAsiaTheme="majorEastAsia" w:hAnsiTheme="majorHAnsi" w:cstheme="majorBidi"/>
              <w:sz w:val="72"/>
              <w:szCs w:val="7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D7423D"/>
    <w:rsid w:val="002002CB"/>
    <w:rsid w:val="00D742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B0E79A4D6B6450384A3E4BB2FC2E052">
    <w:name w:val="4B0E79A4D6B6450384A3E4BB2FC2E052"/>
    <w:rsid w:val="00D7423D"/>
  </w:style>
  <w:style w:type="paragraph" w:customStyle="1" w:styleId="6465060AB9CD4570AFFA31752E04E67C">
    <w:name w:val="6465060AB9CD4570AFFA31752E04E67C"/>
    <w:rsid w:val="00D7423D"/>
  </w:style>
  <w:style w:type="paragraph" w:customStyle="1" w:styleId="A8D457A234384FD28A0B5DE62258E9EC">
    <w:name w:val="A8D457A234384FD28A0B5DE62258E9EC"/>
    <w:rsid w:val="00D7423D"/>
  </w:style>
  <w:style w:type="paragraph" w:customStyle="1" w:styleId="8580EE4C116144AA8431DD6D4CF68334">
    <w:name w:val="8580EE4C116144AA8431DD6D4CF68334"/>
    <w:rsid w:val="00D7423D"/>
  </w:style>
  <w:style w:type="paragraph" w:customStyle="1" w:styleId="70A20B9081A345068F443327A015B841">
    <w:name w:val="70A20B9081A345068F443327A015B841"/>
    <w:rsid w:val="00D7423D"/>
  </w:style>
  <w:style w:type="paragraph" w:customStyle="1" w:styleId="AC336A84AD414804B33ABAA2FC81841F">
    <w:name w:val="AC336A84AD414804B33ABAA2FC81841F"/>
    <w:rsid w:val="00D7423D"/>
  </w:style>
  <w:style w:type="paragraph" w:customStyle="1" w:styleId="E11BA87A942942228A9BA3B23DA48E3B">
    <w:name w:val="E11BA87A942942228A9BA3B23DA48E3B"/>
    <w:rsid w:val="00D7423D"/>
  </w:style>
  <w:style w:type="paragraph" w:customStyle="1" w:styleId="9C713C5DC692498ABFBD590704141129">
    <w:name w:val="9C713C5DC692498ABFBD590704141129"/>
    <w:rsid w:val="00D7423D"/>
  </w:style>
  <w:style w:type="paragraph" w:customStyle="1" w:styleId="6C3F63C520E1482CA8C831734005F3F3">
    <w:name w:val="6C3F63C520E1482CA8C831734005F3F3"/>
    <w:rsid w:val="00D7423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3005-EF3B-4B89-86B6-23AB99D3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2297</Words>
  <Characters>12639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Desigualtats salarials a Catalunya</vt:lpstr>
    </vt:vector>
  </TitlesOfParts>
  <Company/>
  <LinksUpToDate>false</LinksUpToDate>
  <CharactersWithSpaces>14907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Desigualtats salarials a Catalunya</dc:title>
  <dc:subject>Els efectes de la conciliació sobre la formació de la bretxa salarial</dc:subject>
  <dc:creator>PCASTELLA</dc:creator>
  <cp:lastModifiedBy>PCASTELLA</cp:lastModifiedBy>
  <cp:revision>2</cp:revision>
  <cp:lastPrinted>2016-02-19T18:33:00Z</cp:lastPrinted>
  <dcterms:created xsi:type="dcterms:W3CDTF">2016-02-22T09:00:00Z</dcterms:created>
  <dcterms:modified xsi:type="dcterms:W3CDTF">2016-02-22T09:00:00Z</dcterms:modified>
</cp:coreProperties>
</file>